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Times New Roman" w:cs="Times New Roman" w:eastAsia="Times New Roman" w:hAnsi="Times New Roman"/>
          <w:b/>
          <w:bCs/>
          <w:sz w:val="28"/>
          <w:szCs w:val="28"/>
        </w:rPr>
        <w:t xml:space="preserve">CONCLUSION AND FUTURE WORK</w:t>
      </w:r>
    </w:p>
    <w:p>
      <w:pPr>
        <w:pStyle w:val="Heading1"/>
        <w:spacing w:after="200" w:before="360"/>
      </w:pPr>
      <w:r>
        <w:rPr>
          <w:rFonts w:ascii="Times New Roman" w:cs="Times New Roman" w:eastAsia="Times New Roman" w:hAnsi="Times New Roman"/>
          <w:b/>
          <w:bCs/>
          <w:sz w:val="28"/>
          <w:szCs w:val="28"/>
        </w:rPr>
        <w:t xml:space="preserve">6.1 Conclusion</w:t>
      </w:r>
    </w:p>
    <w:p>
      <w:pPr>
        <w:spacing w:after="160" w:line="276"/>
        <w:jc w:val="both"/>
      </w:pPr>
      <w:r>
        <w:rPr>
          <w:rFonts w:ascii="Times New Roman" w:cs="Times New Roman" w:eastAsia="Times New Roman" w:hAnsi="Times New Roman"/>
          <w:b w:val="false"/>
          <w:bCs w:val="false"/>
          <w:i w:val="false"/>
          <w:iCs w:val="false"/>
          <w:sz w:val="24"/>
          <w:szCs w:val="24"/>
        </w:rPr>
        <w:t xml:space="preserve">This dissertation set out to investigate whether a domain-fine-tuned large language model, embedded inside an agentic self-correction loop, can autonomously produce syntactically valid and semantically faithful end-to-end user-interface test scripts directly from natural-language user stories. The motivation was the persistent quality-assurance bottleneck in modern software teams, where manual authoring and maintenance of end-to-end test scripts consumes disproportionate engineering effort relative to the value delivered. Eight phases of work were undertaken to answer this question: a curated, framework-balanced dataset of 279 Jira-style user stories was constructed and validated; two commercial large language models were evaluated as zero-shot reference systems; two open-weight models, Phi-3 Mini and Gemma 4 E4B, were adapted through QLoRA parameter-efficient fine-tuning into framework-isolated adapters for Cypress and Playwright; a Build–Measure–Assess–Decide agentic correction loop was implemented to iteratively refine generated scripts against a composite quality threshold; and a comprehensive statistical evaluation was carried out comparing all eight resulting systems on the complete held-out dataset.</w:t>
      </w:r>
    </w:p>
    <w:p>
      <w:pPr>
        <w:spacing w:after="160" w:line="276"/>
        <w:jc w:val="both"/>
      </w:pPr>
      <w:r>
        <w:rPr>
          <w:rFonts w:ascii="Times New Roman" w:cs="Times New Roman" w:eastAsia="Times New Roman" w:hAnsi="Times New Roman"/>
          <w:b w:val="false"/>
          <w:bCs w:val="false"/>
          <w:i w:val="false"/>
          <w:iCs w:val="false"/>
          <w:sz w:val="24"/>
          <w:szCs w:val="24"/>
        </w:rPr>
        <w:t xml:space="preserve">The evaluation reported in Chapter 5 answers the research question in the affirmative, with three specific, statistically substantiated conclusions. First, fine-tuning produces a large and highly consistent improvement in ground-truth semantic alignment over zero-shot prompting: the ranking Gemma 4 E4B &gt; Phi-3 Mini &gt; commercial baselines holds without a single exception across both frameworks and across all sixteen functional categories in the dataset, and every one of the ten paired Wilcoxon signed-rank comparisons conducted was significant at p &lt; 10⁻²². Second, this improvement is not obtained at the expense of syntactic reliability: once evaluated on the complete dataset rather than a partial sample, fine-tuned and baseline systems are statistically indistinguishable on syntax validity (χ² = 0.00, p = 1.00). Third, the agentic correction loop itself is an effective mechanism for closing the residual gap between a first-attempt generation and an acceptable script, with the strongest configuration — Gemma 4 E4B on Cypress — reaching a 100% acceptance rate across all 279 held-out stories.</w:t>
      </w:r>
    </w:p>
    <w:p>
      <w:pPr>
        <w:spacing w:after="160" w:line="276"/>
        <w:jc w:val="both"/>
      </w:pPr>
      <w:r>
        <w:rPr>
          <w:rFonts w:ascii="Times New Roman" w:cs="Times New Roman" w:eastAsia="Times New Roman" w:hAnsi="Times New Roman"/>
          <w:b w:val="false"/>
          <w:bCs w:val="false"/>
          <w:i w:val="false"/>
          <w:iCs w:val="false"/>
          <w:sz w:val="24"/>
          <w:szCs w:val="24"/>
        </w:rPr>
        <w:t xml:space="preserve">Beyond the headline quantitative result, this work makes three further contributions that are methodological rather than purely empirical. The evaluation design pairs every one of the 279 stories across all eight systems, enabling item-level non-parametric significance testing rather than comparison of aggregate means alone — a stronger design than is typical in comparable code-generation studies, where baseline and treatment systems are often evaluated on non-identical or non-paired samples. Second, two measurement artefacts were identified and corrected during the course of the evaluation itself: an unstripped Markdown code fence that had suppressed Claude Haiku's apparent Playwright syntax-validity score by more than thirty percentage points, and an incomplete-dataset sample that had made fine-tuned syntax reliability appear to lag baseline reliability by a statistically significant margin, a gap that closed entirely once the full 279-story dataset was scored. Both corrections are reported transparently in Chapter 5 rather than silently absorbed into the final figures, illustrating a broader methodological point for automated code-generation research: an unexpected per-system result should be treated as a candidate measurement artefact and investigated before it is accepted as a genuine finding. Third, the category-level analysis in Section 5.7 demonstrates that a lexical-overlap metric such as ROUGE-L can systematically understate model quality in categories whose reference scripts rely on idiosyncratic, non-derivable naming conventions, a qualification that should inform how future work in this area interprets ROUGE-L-based comparisons.</w:t>
      </w:r>
    </w:p>
    <w:p>
      <w:pPr>
        <w:pStyle w:val="Heading1"/>
        <w:spacing w:after="200" w:before="360"/>
      </w:pPr>
      <w:r>
        <w:rPr>
          <w:rFonts w:ascii="Times New Roman" w:cs="Times New Roman" w:eastAsia="Times New Roman" w:hAnsi="Times New Roman"/>
          <w:b/>
          <w:bCs/>
          <w:sz w:val="28"/>
          <w:szCs w:val="28"/>
        </w:rPr>
        <w:t xml:space="preserve">6.2 Limitations</w:t>
      </w:r>
    </w:p>
    <w:p>
      <w:pPr>
        <w:spacing w:after="160" w:line="276"/>
        <w:jc w:val="both"/>
      </w:pPr>
      <w:r>
        <w:rPr>
          <w:rFonts w:ascii="Times New Roman" w:cs="Times New Roman" w:eastAsia="Times New Roman" w:hAnsi="Times New Roman"/>
          <w:b w:val="false"/>
          <w:bCs w:val="false"/>
          <w:i w:val="false"/>
          <w:iCs w:val="false"/>
          <w:sz w:val="24"/>
          <w:szCs w:val="24"/>
        </w:rPr>
        <w:t xml:space="preserve">Several limitations qualify the scope of the conclusions reported above and should be considered when generalising the findings beyond the conditions under which this study was conducted.</w:t>
      </w:r>
    </w:p>
    <w:p>
      <w:pPr>
        <w:pStyle w:val="ListParagraph"/>
        <w:numPr>
          <w:ilvl w:val="0"/>
          <w:numId w:val="2"/>
        </w:numPr>
        <w:spacing w:after="120" w:line="276"/>
        <w:jc w:val="both"/>
      </w:pPr>
      <w:r>
        <w:rPr>
          <w:rFonts w:ascii="Times New Roman" w:cs="Times New Roman" w:eastAsia="Times New Roman" w:hAnsi="Times New Roman"/>
          <w:sz w:val="24"/>
          <w:szCs w:val="24"/>
        </w:rPr>
        <w:t xml:space="preserve">Dataset scale and provenance. The 279-story dataset, while balanced across sixteen functional categories and three complexity levels, is a single synthetically constructed corpus rather than a sample of user stories drawn from an operating production backlog. Although its scale is consistent with established parameter-efficient fine-tuning practice for LoRA-style adapters, a larger and organisationally diverse dataset would strengthen claims of generalisability to arbitrary real-world Jira tickets.</w:t>
      </w:r>
    </w:p>
    <w:p>
      <w:pPr>
        <w:pStyle w:val="ListParagraph"/>
        <w:numPr>
          <w:ilvl w:val="0"/>
          <w:numId w:val="2"/>
        </w:numPr>
        <w:spacing w:after="120" w:line="276"/>
        <w:jc w:val="both"/>
      </w:pPr>
      <w:r>
        <w:rPr>
          <w:rFonts w:ascii="Times New Roman" w:cs="Times New Roman" w:eastAsia="Times New Roman" w:hAnsi="Times New Roman"/>
          <w:sz w:val="24"/>
          <w:szCs w:val="24"/>
        </w:rPr>
        <w:t xml:space="preserve">Framework coverage. Evaluation is restricted to Cypress and Playwright, the two most widely adopted browser-based end-to-end testing frameworks at the time of this study. The findings do not directly extend to other test automation paradigms such as Selenium WebDriver, native mobile frameworks such as Appium, or API-level contract testing, each of which carries a different syntactic and semantic profile.</w:t>
      </w:r>
    </w:p>
    <w:p>
      <w:pPr>
        <w:pStyle w:val="ListParagraph"/>
        <w:numPr>
          <w:ilvl w:val="0"/>
          <w:numId w:val="2"/>
        </w:numPr>
        <w:spacing w:after="120" w:line="276"/>
        <w:jc w:val="both"/>
      </w:pPr>
      <w:r>
        <w:rPr>
          <w:rFonts w:ascii="Times New Roman" w:cs="Times New Roman" w:eastAsia="Times New Roman" w:hAnsi="Times New Roman"/>
          <w:sz w:val="24"/>
          <w:szCs w:val="24"/>
        </w:rPr>
        <w:t xml:space="preserve">Model scale. Both fine-tuned base models — Phi-3 Mini and Gemma 4 E4B — were selected in part for their feasibility on Apple Silicon hardware operating under a 48 GB unified-memory budget. Larger open-weight or proprietary models may exhibit different fine-tuning dynamics and zero-shot baseline quality; the results reported here should be read as evidence for models in this parameter range, not as an upper bound on what fine-tuning can achieve at larger scale.</w:t>
      </w:r>
    </w:p>
    <w:p>
      <w:pPr>
        <w:pStyle w:val="ListParagraph"/>
        <w:numPr>
          <w:ilvl w:val="0"/>
          <w:numId w:val="2"/>
        </w:numPr>
        <w:spacing w:after="120" w:line="276"/>
        <w:jc w:val="both"/>
      </w:pPr>
      <w:r>
        <w:rPr>
          <w:rFonts w:ascii="Times New Roman" w:cs="Times New Roman" w:eastAsia="Times New Roman" w:hAnsi="Times New Roman"/>
          <w:sz w:val="24"/>
          <w:szCs w:val="24"/>
        </w:rPr>
        <w:t xml:space="preserve">Single fine-tuning run per configuration. Each of the four adapters was trained once to convergence rather than across multiple random seeds. Training-run-to-training-run variance was therefore not quantified, and the reported accept rates and ROUGE-L scores reflect one instantiation of each adapter rather than a distribution over repeated training runs.</w:t>
      </w:r>
    </w:p>
    <w:p>
      <w:pPr>
        <w:pStyle w:val="ListParagraph"/>
        <w:numPr>
          <w:ilvl w:val="0"/>
          <w:numId w:val="2"/>
        </w:numPr>
        <w:spacing w:after="120" w:line="276"/>
        <w:jc w:val="both"/>
      </w:pPr>
      <w:r>
        <w:rPr>
          <w:rFonts w:ascii="Times New Roman" w:cs="Times New Roman" w:eastAsia="Times New Roman" w:hAnsi="Times New Roman"/>
          <w:sz w:val="24"/>
          <w:szCs w:val="24"/>
        </w:rPr>
        <w:t xml:space="preserve">Token-budget-bound rejections. A minority of Phi-3 Mini rejections, most visible on Playwright, were attributable to the generation token ceiling being insufficient for unusually long reference scripts even after the correction loop's automatic escalation. This is a configuration limit of the present loop rather than evidence of a structural incapacity in the model, but it does mean the reported accept rates slightly understate what a more generous or adaptively sized token budget could achieve.</w:t>
      </w:r>
    </w:p>
    <w:p>
      <w:pPr>
        <w:pStyle w:val="ListParagraph"/>
        <w:numPr>
          <w:ilvl w:val="0"/>
          <w:numId w:val="2"/>
        </w:numPr>
        <w:spacing w:after="120" w:line="276"/>
        <w:jc w:val="both"/>
      </w:pPr>
      <w:r>
        <w:rPr>
          <w:rFonts w:ascii="Times New Roman" w:cs="Times New Roman" w:eastAsia="Times New Roman" w:hAnsi="Times New Roman"/>
          <w:sz w:val="24"/>
          <w:szCs w:val="24"/>
        </w:rPr>
        <w:t xml:space="preserve">Metric-based rather than execution-based validation. Quality was assessed through static syntax checking and lexical similarity to a reference script; no generated script was executed against a live application under test. A script can therefore be judged syntactically valid and lexically close to the reference while still failing at runtime — for example, if a selector it references does not exist in the target application's actual DOM. This is discussed further as a priority direction for future work below.</w:t>
      </w:r>
    </w:p>
    <w:p>
      <w:pPr>
        <w:pStyle w:val="Heading1"/>
        <w:spacing w:after="200" w:before="360"/>
      </w:pPr>
      <w:r>
        <w:rPr>
          <w:rFonts w:ascii="Times New Roman" w:cs="Times New Roman" w:eastAsia="Times New Roman" w:hAnsi="Times New Roman"/>
          <w:b/>
          <w:bCs/>
          <w:sz w:val="28"/>
          <w:szCs w:val="28"/>
        </w:rPr>
        <w:t xml:space="preserve">6.3 Future Work</w:t>
      </w:r>
    </w:p>
    <w:p>
      <w:pPr>
        <w:spacing w:after="160" w:line="276"/>
        <w:jc w:val="both"/>
      </w:pPr>
      <w:r>
        <w:rPr>
          <w:rFonts w:ascii="Times New Roman" w:cs="Times New Roman" w:eastAsia="Times New Roman" w:hAnsi="Times New Roman"/>
          <w:b w:val="false"/>
          <w:bCs w:val="false"/>
          <w:i w:val="false"/>
          <w:iCs w:val="false"/>
          <w:sz w:val="24"/>
          <w:szCs w:val="24"/>
        </w:rPr>
        <w:t xml:space="preserve">The limitations identified above translate directly into concrete directions for extending this research.</w:t>
      </w:r>
    </w:p>
    <w:p>
      <w:pPr>
        <w:pStyle w:val="Heading2"/>
        <w:spacing w:after="140" w:before="260"/>
      </w:pPr>
      <w:r>
        <w:rPr>
          <w:rFonts w:ascii="Times New Roman" w:cs="Times New Roman" w:eastAsia="Times New Roman" w:hAnsi="Times New Roman"/>
          <w:b/>
          <w:bCs/>
          <w:sz w:val="24"/>
          <w:szCs w:val="24"/>
        </w:rPr>
        <w:t xml:space="preserve">6.3.1 Execution-Based Validation</w:t>
      </w:r>
    </w:p>
    <w:p>
      <w:pPr>
        <w:spacing w:after="160" w:line="276"/>
        <w:jc w:val="both"/>
      </w:pPr>
      <w:r>
        <w:rPr>
          <w:rFonts w:ascii="Times New Roman" w:cs="Times New Roman" w:eastAsia="Times New Roman" w:hAnsi="Times New Roman"/>
          <w:b w:val="false"/>
          <w:bCs w:val="false"/>
          <w:i w:val="false"/>
          <w:iCs w:val="false"/>
          <w:sz w:val="24"/>
          <w:szCs w:val="24"/>
        </w:rPr>
        <w:t xml:space="preserve">The most consequential extension is to move beyond static and lexical evaluation toward execution-based validation: running each generated script against a live or containerised instance of the target application and recording pass, fail, or runtime-error outcomes. This would close the remaining gap between “the script looks correct” and “the script actually verifies the intended behaviour,” and would allow the BMAD loop's Measure stage to incorporate a genuine functional-correctness signal alongside the current static heuristics. A natural implementation path is a sandboxed headless-browser execution stage inserted between the current syntax check and the composite-score computation, feeding pass/fail outcomes back as an additional term in the acceptance threshold.</w:t>
      </w:r>
    </w:p>
    <w:p>
      <w:pPr>
        <w:pStyle w:val="Heading2"/>
        <w:spacing w:after="140" w:before="260"/>
      </w:pPr>
      <w:r>
        <w:rPr>
          <w:rFonts w:ascii="Times New Roman" w:cs="Times New Roman" w:eastAsia="Times New Roman" w:hAnsi="Times New Roman"/>
          <w:b/>
          <w:bCs/>
          <w:sz w:val="24"/>
          <w:szCs w:val="24"/>
        </w:rPr>
        <w:t xml:space="preserve">6.3.2 Human Evaluation</w:t>
      </w:r>
    </w:p>
    <w:p>
      <w:pPr>
        <w:spacing w:after="160" w:line="276"/>
        <w:jc w:val="both"/>
      </w:pPr>
      <w:r>
        <w:rPr>
          <w:rFonts w:ascii="Times New Roman" w:cs="Times New Roman" w:eastAsia="Times New Roman" w:hAnsi="Times New Roman"/>
          <w:b w:val="false"/>
          <w:bCs w:val="false"/>
          <w:i w:val="false"/>
          <w:iCs w:val="false"/>
          <w:sz w:val="24"/>
          <w:szCs w:val="24"/>
        </w:rPr>
        <w:t xml:space="preserve">A structured human evaluation, in which practising QA engineers rate a sample of generated scripts for readability, maintainability, and fitness for direct use in a real codebase, would complement the automated metrics used in this dissertation. ROUGE-L and token-F1 capture surface similarity to a reference implementation but cannot assess whether an engineer would accept a generated script into a pull request with minimal edits — a criterion that ultimately determines the practical value of the system studied here.</w:t>
      </w:r>
    </w:p>
    <w:p>
      <w:pPr>
        <w:pStyle w:val="Heading2"/>
        <w:spacing w:after="140" w:before="260"/>
      </w:pPr>
      <w:r>
        <w:rPr>
          <w:rFonts w:ascii="Times New Roman" w:cs="Times New Roman" w:eastAsia="Times New Roman" w:hAnsi="Times New Roman"/>
          <w:b/>
          <w:bCs/>
          <w:sz w:val="24"/>
          <w:szCs w:val="24"/>
        </w:rPr>
        <w:t xml:space="preserve">6.3.3 Broader Framework and Domain Coverage</w:t>
      </w:r>
    </w:p>
    <w:p>
      <w:pPr>
        <w:spacing w:after="160" w:line="276"/>
        <w:jc w:val="both"/>
      </w:pPr>
      <w:r>
        <w:rPr>
          <w:rFonts w:ascii="Times New Roman" w:cs="Times New Roman" w:eastAsia="Times New Roman" w:hAnsi="Times New Roman"/>
          <w:b w:val="false"/>
          <w:bCs w:val="false"/>
          <w:i w:val="false"/>
          <w:iCs w:val="false"/>
          <w:sz w:val="24"/>
          <w:szCs w:val="24"/>
        </w:rPr>
        <w:t xml:space="preserve">Extending the framework-isolated fine-tuning methodology used here to Selenium WebDriver, Appium-based mobile test automation, and API-level contract testing frameworks such as Postman or REST Assured would test whether the observed fine-tuning advantage generalises beyond browser-based UI testing, and would allow a single organisation's full test-automation surface to be addressed by variants of the same agentic loop.</w:t>
      </w:r>
    </w:p>
    <w:p>
      <w:pPr>
        <w:pStyle w:val="Heading2"/>
        <w:spacing w:after="140" w:before="260"/>
      </w:pPr>
      <w:r>
        <w:rPr>
          <w:rFonts w:ascii="Times New Roman" w:cs="Times New Roman" w:eastAsia="Times New Roman" w:hAnsi="Times New Roman"/>
          <w:b/>
          <w:bCs/>
          <w:sz w:val="24"/>
          <w:szCs w:val="24"/>
        </w:rPr>
        <w:t xml:space="preserve">6.3.4 Larger-Scale and Multi-Seed Training</w:t>
      </w:r>
    </w:p>
    <w:p>
      <w:pPr>
        <w:spacing w:after="160" w:line="276"/>
        <w:jc w:val="both"/>
      </w:pPr>
      <w:r>
        <w:rPr>
          <w:rFonts w:ascii="Times New Roman" w:cs="Times New Roman" w:eastAsia="Times New Roman" w:hAnsi="Times New Roman"/>
          <w:b w:val="false"/>
          <w:bCs w:val="false"/>
          <w:i w:val="false"/>
          <w:iCs w:val="false"/>
          <w:sz w:val="24"/>
          <w:szCs w:val="24"/>
        </w:rPr>
        <w:t xml:space="preserve">Repeating the QLoRA fine-tuning procedure across multiple random seeds per adapter would quantify training-run variance and strengthen the statistical claims made in Chapter 5. Scaling the dataset beyond 279 stories per framework, and sourcing a portion of it from real, anonymised production backlogs rather than synthetic generation, would additionally test whether the fine-tuning gains reported here persist on more heterogeneous and less internally consistent user-story phrasing.</w:t>
      </w:r>
    </w:p>
    <w:p>
      <w:pPr>
        <w:pStyle w:val="Heading2"/>
        <w:spacing w:after="140" w:before="260"/>
      </w:pPr>
      <w:r>
        <w:rPr>
          <w:rFonts w:ascii="Times New Roman" w:cs="Times New Roman" w:eastAsia="Times New Roman" w:hAnsi="Times New Roman"/>
          <w:b/>
          <w:bCs/>
          <w:sz w:val="24"/>
          <w:szCs w:val="24"/>
        </w:rPr>
        <w:t xml:space="preserve">6.3.5 Adaptive Token Budgeting</w:t>
      </w:r>
    </w:p>
    <w:p>
      <w:pPr>
        <w:spacing w:after="160" w:line="276"/>
        <w:jc w:val="both"/>
      </w:pPr>
      <w:r>
        <w:rPr>
          <w:rFonts w:ascii="Times New Roman" w:cs="Times New Roman" w:eastAsia="Times New Roman" w:hAnsi="Times New Roman"/>
          <w:b w:val="false"/>
          <w:bCs w:val="false"/>
          <w:i w:val="false"/>
          <w:iCs w:val="false"/>
          <w:sz w:val="24"/>
          <w:szCs w:val="24"/>
        </w:rPr>
        <w:t xml:space="preserve">The token-budget-bound rejections identified in Section 6.2 could be addressed directly by predicting an appropriate generation length from the user story's category and complexity label before the first generation attempt, rather than escalating the token ceiling reactively only after a truncated first attempt — a refinement that would likely narrow the residual accept-rate gap between Phi-3 Mini and Gemma 4 E4B on Playwright.</w:t>
      </w:r>
    </w:p>
    <w:p>
      <w:pPr>
        <w:pStyle w:val="Heading2"/>
        <w:spacing w:after="140" w:before="260"/>
      </w:pPr>
      <w:r>
        <w:rPr>
          <w:rFonts w:ascii="Times New Roman" w:cs="Times New Roman" w:eastAsia="Times New Roman" w:hAnsi="Times New Roman"/>
          <w:b/>
          <w:bCs/>
          <w:sz w:val="24"/>
          <w:szCs w:val="24"/>
        </w:rPr>
        <w:t xml:space="preserve">6.3.6 Multi-Agent Specialisation</w:t>
      </w:r>
    </w:p>
    <w:p>
      <w:pPr>
        <w:spacing w:after="160" w:line="276"/>
        <w:jc w:val="both"/>
      </w:pPr>
      <w:r>
        <w:rPr>
          <w:rFonts w:ascii="Times New Roman" w:cs="Times New Roman" w:eastAsia="Times New Roman" w:hAnsi="Times New Roman"/>
          <w:b w:val="false"/>
          <w:bCs w:val="false"/>
          <w:i w:val="false"/>
          <w:iCs w:val="false"/>
          <w:sz w:val="24"/>
          <w:szCs w:val="24"/>
        </w:rPr>
        <w:t xml:space="preserve">The current architecture applies a single agentic loop uniformly across all categories of user story. A natural extension is to decompose the loop into specialised sub-agents — for instance, a dedicated agent for accessibility-focused assertions, or one specialised in responsive-design viewport handling, the category identified in Chapter 5 as the most metric-sensitive — coordinated by a routing mechanism that dispatches each incoming story to the most appropriate specialist before the shared Build–Measure–Assess–Decide cycle proceeds.</w:t>
      </w:r>
    </w:p>
    <w:p>
      <w:pPr>
        <w:pStyle w:val="Heading1"/>
        <w:spacing w:after="200" w:before="360"/>
      </w:pPr>
      <w:r>
        <w:rPr>
          <w:rFonts w:ascii="Times New Roman" w:cs="Times New Roman" w:eastAsia="Times New Roman" w:hAnsi="Times New Roman"/>
          <w:b/>
          <w:bCs/>
          <w:sz w:val="28"/>
          <w:szCs w:val="28"/>
        </w:rPr>
        <w:t xml:space="preserve">6.4 Concluding Remarks</w:t>
      </w:r>
    </w:p>
    <w:p>
      <w:pPr>
        <w:spacing w:after="160" w:line="276"/>
        <w:jc w:val="both"/>
      </w:pPr>
      <w:r>
        <w:rPr>
          <w:rFonts w:ascii="Times New Roman" w:cs="Times New Roman" w:eastAsia="Times New Roman" w:hAnsi="Times New Roman"/>
          <w:b w:val="false"/>
          <w:bCs w:val="false"/>
          <w:i w:val="false"/>
          <w:iCs w:val="false"/>
          <w:sz w:val="24"/>
          <w:szCs w:val="24"/>
        </w:rPr>
        <w:t xml:space="preserve">Taken as a whole, this dissertation provides statistically robust evidence that parameter-efficient fine-tuning, combined with an agentic self-correction loop, can substantially improve an open-weight language model's ability to translate natural-language user stories into usable end-to-end test scripts, without sacrificing syntactic reliability relative to considerably larger zero-shot commercial systems. The scale of the improvement, its consistency across every category and framework tested, and the rigour with which measurement artefacts were identified and corrected during the evaluation process together support the conclusion that this is a genuine and practically meaningful effect rather than an outcome of favourable aggregation. The limitations and future directions identified in this chapter define a clear path by which the present findings could be extended toward a system suitable for evaluation in an operating software delivery pipeline.</w:t>
      </w:r>
    </w:p>
    <w:sectPr>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2026-07-17T19:46:52.083Z</dcterms:created>
  <dcterms:modified xsi:type="dcterms:W3CDTF">2026-07-17T19:46:52.084Z</dcterms:modified>
</cp:coreProperties>
</file>

<file path=docProps/custom.xml><?xml version="1.0" encoding="utf-8"?>
<Properties xmlns="http://schemas.openxmlformats.org/officeDocument/2006/custom-properties" xmlns:vt="http://schemas.openxmlformats.org/officeDocument/2006/docPropsVTypes"/>
</file>