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Times New Roman" w:cs="Times New Roman" w:eastAsia="Times New Roman" w:hAnsi="Times New Roman"/>
          <w:b/>
          <w:bCs/>
          <w:sz w:val="28"/>
          <w:szCs w:val="28"/>
        </w:rPr>
        <w:t xml:space="preserve">RESULTS AND EVALUATION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presents the complete comparative evaluation of the four candidate test-script generation systems constructed in this dissertation — two zero-shot commercial baselines (GPT-4o-mini and Claude Haiku) and two QLoRA fine-tuned open-weight models embedded in the BMAD agentic correction loop (Phi-3 Mini and Gemma 4 E4B) — across both target frameworks, Cypress and Playwright. Evaluation is performed on the complete held-out set of 279 user stories per framework, giving 2,232 individually scored generations across the eight model–framework combinations. The chapter is organised as follows: Section 5.1 restates the evaluation methodology; Sections 5.2 and 5.3 report baseline and fine-tuned outcomes respectively; Section 5.4 compares semantic quality across all systems; Section 5.5 establishes statistical significance; Section 5.6 examines syntactic validity; Section 5.7 analyses category-level error patterns; and Section 5.8 discusses the findings as a whole.</w:t>
      </w:r>
    </w:p>
    <w:p>
      <w:pPr>
        <w:pStyle w:val="Heading1"/>
        <w:spacing w:after="200" w:before="360"/>
      </w:pPr>
      <w:r>
        <w:rPr>
          <w:rFonts w:ascii="Times New Roman" w:cs="Times New Roman" w:eastAsia="Times New Roman" w:hAnsi="Times New Roman"/>
          <w:b/>
          <w:bCs/>
          <w:sz w:val="28"/>
          <w:szCs w:val="28"/>
        </w:rPr>
        <w:t xml:space="preserve">5.1 Evaluation Methodology</w:t>
      </w:r>
    </w:p>
    <w:p>
      <w:pPr>
        <w:spacing w:after="160" w:line="276"/>
        <w:jc w:val="both"/>
      </w:pPr>
      <w:r>
        <w:rPr>
          <w:rFonts w:ascii="Times New Roman" w:cs="Times New Roman" w:eastAsia="Times New Roman" w:hAnsi="Times New Roman"/>
          <w:b w:val="false"/>
          <w:bCs w:val="false"/>
          <w:i w:val="false"/>
          <w:iCs w:val="false"/>
          <w:sz w:val="24"/>
          <w:szCs w:val="24"/>
        </w:rPr>
        <w:t xml:space="preserve">Four complementary evaluation lenses are applied, each targeting a different failure mode that a single metric cannot capture in isolation.</w:t>
      </w:r>
    </w:p>
    <w:p>
      <w:pPr>
        <w:spacing w:after="160" w:line="276"/>
        <w:jc w:val="both"/>
      </w:pPr>
      <w:r>
        <w:rPr>
          <w:rFonts w:ascii="Times New Roman" w:cs="Times New Roman" w:eastAsia="Times New Roman" w:hAnsi="Times New Roman"/>
          <w:b/>
          <w:bCs/>
          <w:sz w:val="24"/>
          <w:szCs w:val="24"/>
        </w:rPr>
        <w:t xml:space="preserve">BMAD composite acceptance. </w:t>
      </w:r>
      <w:r>
        <w:rPr>
          <w:rFonts w:ascii="Times New Roman" w:cs="Times New Roman" w:eastAsia="Times New Roman" w:hAnsi="Times New Roman"/>
          <w:sz w:val="24"/>
          <w:szCs w:val="24"/>
        </w:rPr>
        <w:t xml:space="preserve">The internal quality gate applied during generation itself: a weighted composite of syntax-keyword completeness (40%), assertion density (30%) and ROUGE-L similarity to a retrieval-matched exemplar (30%), thresholded at 0.60. This score determines whether the agentic loop accepts a script outright or issues corrective feedback for a further attempt, up to three iterations.</w:t>
      </w:r>
    </w:p>
    <w:p>
      <w:pPr>
        <w:spacing w:after="160" w:line="276"/>
        <w:jc w:val="both"/>
      </w:pPr>
      <w:r>
        <w:rPr>
          <w:rFonts w:ascii="Times New Roman" w:cs="Times New Roman" w:eastAsia="Times New Roman" w:hAnsi="Times New Roman"/>
          <w:b/>
          <w:bCs/>
          <w:sz w:val="24"/>
          <w:szCs w:val="24"/>
        </w:rPr>
        <w:t xml:space="preserve">Independent syntax validity. </w:t>
      </w:r>
      <w:r>
        <w:rPr>
          <w:rFonts w:ascii="Times New Roman" w:cs="Times New Roman" w:eastAsia="Times New Roman" w:hAnsi="Times New Roman"/>
          <w:sz w:val="24"/>
          <w:szCs w:val="24"/>
        </w:rPr>
        <w:t xml:space="preserve">A separate, external check using Node.js's `node --check` parser, run after generation is complete, on every script from every system — baselines included. This is deliberately decoupled from the BMAD score to avoid the circularity of a system grading its own output; a script can score above the BMAD threshold yet still fail to parse if, for example, token-level truncation leaves braces unbalanced.</w:t>
      </w:r>
    </w:p>
    <w:p>
      <w:pPr>
        <w:spacing w:after="160" w:line="276"/>
        <w:jc w:val="both"/>
      </w:pPr>
      <w:r>
        <w:rPr>
          <w:rFonts w:ascii="Times New Roman" w:cs="Times New Roman" w:eastAsia="Times New Roman" w:hAnsi="Times New Roman"/>
          <w:b/>
          <w:bCs/>
          <w:sz w:val="24"/>
          <w:szCs w:val="24"/>
        </w:rPr>
        <w:t xml:space="preserve">Semantic similarity to ground truth. </w:t>
      </w:r>
      <w:r>
        <w:rPr>
          <w:rFonts w:ascii="Times New Roman" w:cs="Times New Roman" w:eastAsia="Times New Roman" w:hAnsi="Times New Roman"/>
          <w:sz w:val="24"/>
          <w:szCs w:val="24"/>
        </w:rPr>
        <w:t xml:space="preserve">ROUGE-L F1 [18], token-level F1, and framework-specific keyword/structural coverage, computed against the held-out reference script for each of the 279 user stories, for every one of the eight systems.</w:t>
      </w:r>
    </w:p>
    <w:p>
      <w:pPr>
        <w:spacing w:after="160" w:line="276"/>
        <w:jc w:val="both"/>
      </w:pPr>
      <w:r>
        <w:rPr>
          <w:rFonts w:ascii="Times New Roman" w:cs="Times New Roman" w:eastAsia="Times New Roman" w:hAnsi="Times New Roman"/>
          <w:b/>
          <w:bCs/>
          <w:sz w:val="24"/>
          <w:szCs w:val="24"/>
        </w:rPr>
        <w:t xml:space="preserve">Inferential statistics. </w:t>
      </w:r>
      <w:r>
        <w:rPr>
          <w:rFonts w:ascii="Times New Roman" w:cs="Times New Roman" w:eastAsia="Times New Roman" w:hAnsi="Times New Roman"/>
          <w:sz w:val="24"/>
          <w:szCs w:val="24"/>
        </w:rPr>
        <w:t xml:space="preserve">Because the identical 279 user stories are scored by all eight systems, the evaluation design is paired rather than merely grouped: a one-way ANOVA establishes whether an overall difference exists across systems, while paired Wilcoxon signed-rank tests [22] compare specific system pairs item-by-item, controlling for the fact that some user stories are intrinsically harder to translate into a test script than others regardless of which model attempts them. A chi-square test of independence [23] is additionally used to assess whether syntactic validity is associated with system category (baseline versus fine-tuned).</w:t>
      </w:r>
    </w:p>
    <w:p>
      <w:pPr>
        <w:spacing w:after="160" w:line="276"/>
        <w:jc w:val="both"/>
      </w:pPr>
      <w:r>
        <w:rPr>
          <w:rFonts w:ascii="Times New Roman" w:cs="Times New Roman" w:eastAsia="Times New Roman" w:hAnsi="Times New Roman"/>
          <w:b w:val="false"/>
          <w:bCs w:val="false"/>
          <w:i w:val="false"/>
          <w:iCs w:val="false"/>
          <w:sz w:val="24"/>
          <w:szCs w:val="24"/>
        </w:rPr>
        <w:t xml:space="preserve">All four fine-tuned QLoRA adapters (Phi-3 Mini and Gemma 4 E4B, one per framework) were trained to convergence in Phase 5, with training losses and evaluation token accuracy as previously reported. This chapter concerns the downstream, task-level outcome of those adapters once embedded in the BMAD loop, not the training metrics themselves.</w:t>
      </w:r>
    </w:p>
    <w:p>
      <w:pPr>
        <w:pStyle w:val="Heading1"/>
        <w:spacing w:after="200" w:before="360"/>
      </w:pPr>
      <w:r>
        <w:rPr>
          <w:rFonts w:ascii="Times New Roman" w:cs="Times New Roman" w:eastAsia="Times New Roman" w:hAnsi="Times New Roman"/>
          <w:b/>
          <w:bCs/>
          <w:sz w:val="28"/>
          <w:szCs w:val="28"/>
        </w:rPr>
        <w:t xml:space="preserve">5.2 Zero-Shot Baseline Performance</w:t>
      </w:r>
    </w:p>
    <w:p>
      <w:pPr>
        <w:spacing w:after="160" w:line="276"/>
        <w:jc w:val="both"/>
      </w:pPr>
      <w:r>
        <w:rPr>
          <w:rFonts w:ascii="Times New Roman" w:cs="Times New Roman" w:eastAsia="Times New Roman" w:hAnsi="Times New Roman"/>
          <w:b w:val="false"/>
          <w:bCs w:val="false"/>
          <w:i w:val="false"/>
          <w:iCs w:val="false"/>
          <w:sz w:val="24"/>
          <w:szCs w:val="24"/>
        </w:rPr>
        <w:t xml:space="preserve">Table 5.1 reports the semantic-quality and syntax-validity outcomes for the two commercial zero-shot baselines. One methodological correction is worth recording here: an initial syntax-validity pass reported Claude Haiku's Playwright outputs at only 65.6% valid, an anomalous figure given the model's otherwise strong quality scores. Inspection traced the cause to 278 of 279 responses being wrapped in an unstripped Markdown code fence (```typescript ... ```); the stray backtick characters were being parsed by the Node.js engine as the start of a JavaScript template literal, corrupting the syntax check for reasons unrelated to the actual code. Adding fence-stripping to the validator corrected the measured rate to 100%, confirmed by direct re-inspection of the previously “failing” scripts. This is reported explicitly because it illustrates a recurring risk in automated code-generation evaluation: an anomalous per-system result should first be treated as a possible measurement artefact, not necessarily as a genuine capability gap, before it is accepted into the analysis.</w:t>
      </w:r>
    </w:p>
    <w:p>
      <w:pPr>
        <w:spacing w:after="240" w:before="80"/>
        <w:jc w:val="center"/>
      </w:pPr>
      <w:r>
        <w:rPr>
          <w:rFonts w:ascii="Times New Roman" w:cs="Times New Roman" w:eastAsia="Times New Roman" w:hAnsi="Times New Roman"/>
          <w:b/>
          <w:bCs/>
          <w:i/>
          <w:iCs/>
          <w:sz w:val="22"/>
          <w:szCs w:val="22"/>
        </w:rPr>
        <w:t xml:space="preserve">Table 5.1: Zero-shot baseline performance (n = 279 per framework)</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00"/>
        <w:gridCol w:w="1600"/>
        <w:gridCol w:w="1900"/>
        <w:gridCol w:w="1600"/>
      </w:tblGrid>
      <w:tr>
        <w:trPr>
          <w:tblHeader/>
        </w:trPr>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ROUGE-L F1</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Token-F1</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Keyword Score</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Syntax Valid</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0.304</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0.575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0.294</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0.368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0.581</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97.8%</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0.384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0.879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0.341</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0.389</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0.869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Both baselines cluster tightly within each framework — roughly 0.29–0.30 ROUGE-L F1 on Cypress and 0.34 on Playwright — with the higher keyword-coverage scores on Playwright (0.87–0.88 versus 0.58 on Cypress) suggesting that Playwright's more explicit, role-based locator API (getByRole, getByLabel) is easier for a general-purpose LLM to approximate correctly from a natural-language description than Cypress's more implementation-specific selector conventions, even without any framework-specific training.</w:t>
      </w:r>
    </w:p>
    <w:p>
      <w:pPr>
        <w:pStyle w:val="Heading1"/>
        <w:spacing w:after="200" w:before="360"/>
      </w:pPr>
      <w:r>
        <w:rPr>
          <w:rFonts w:ascii="Times New Roman" w:cs="Times New Roman" w:eastAsia="Times New Roman" w:hAnsi="Times New Roman"/>
          <w:b/>
          <w:bCs/>
          <w:sz w:val="28"/>
          <w:szCs w:val="28"/>
        </w:rPr>
        <w:t xml:space="preserve">5.3 Fine-Tuned Model Performance in the BMAD Loop</w:t>
      </w:r>
    </w:p>
    <w:p>
      <w:pPr>
        <w:spacing w:after="160" w:line="276"/>
        <w:jc w:val="both"/>
      </w:pPr>
      <w:r>
        <w:rPr>
          <w:rFonts w:ascii="Times New Roman" w:cs="Times New Roman" w:eastAsia="Times New Roman" w:hAnsi="Times New Roman"/>
          <w:b w:val="false"/>
          <w:bCs w:val="false"/>
          <w:i w:val="false"/>
          <w:iCs w:val="false"/>
          <w:sz w:val="24"/>
          <w:szCs w:val="24"/>
        </w:rPr>
        <w:t xml:space="preserve">Table 5.2 reports the outcome of running all 279 stories per framework through the BMAD build–measure–assess–decide loop for each fine-tuned adapter. A record is counted as accepted if the composite score reaches the 0.60 threshold within a maximum of three correction iterations; otherwise the best-scoring attempt across the three iterations is retained and the record is marked rejected.</w:t>
      </w:r>
    </w:p>
    <w:p>
      <w:pPr>
        <w:spacing w:after="240" w:before="80"/>
        <w:jc w:val="center"/>
      </w:pPr>
      <w:r>
        <w:rPr>
          <w:rFonts w:ascii="Times New Roman" w:cs="Times New Roman" w:eastAsia="Times New Roman" w:hAnsi="Times New Roman"/>
          <w:b/>
          <w:bCs/>
          <w:i/>
          <w:iCs/>
          <w:sz w:val="22"/>
          <w:szCs w:val="22"/>
        </w:rPr>
        <w:t xml:space="preserve">Table 5.2: BMAD agentic loop outcomes, complete dataset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100"/>
      </w:tblGrid>
      <w:tr>
        <w:trPr>
          <w:tblHeader/>
        </w:trP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Accepted</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Total</w:t>
            </w:r>
          </w:p>
        </w:tc>
        <w:tc>
          <w:tcPr>
            <w:tcW w:type="dxa" w:w="2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Accept Rate</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272</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97.5%</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251</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98.6%</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Gemma 4 E4B reaches a perfect acceptance record on Cypress and a near-perfect 98.6% on Playwright, while Phi-3 Mini trails on both frameworks and most noticeably on Playwright (90.0%). Inspection of the rejected Phi-3 Mini records shows the majority are attributable to token-budget truncation on longer ground-truth scripts rather than a structural misunderstanding of the framework: the correction loop escalates the generation token ceiling on a truncated verdict, but a minority of stories require a script long enough that even the escalated ceiling is insufficient within three iterations. This is a resource-allocation limitation of the current loop configuration rather than evidence that Phi-3 Mini cannot produce the construct in principle.</w:t>
      </w:r>
    </w:p>
    <w:p>
      <w:pPr>
        <w:pStyle w:val="Heading1"/>
        <w:spacing w:after="200" w:before="360"/>
      </w:pPr>
      <w:r>
        <w:rPr>
          <w:rFonts w:ascii="Times New Roman" w:cs="Times New Roman" w:eastAsia="Times New Roman" w:hAnsi="Times New Roman"/>
          <w:b/>
          <w:bCs/>
          <w:sz w:val="28"/>
          <w:szCs w:val="28"/>
        </w:rPr>
        <w:t xml:space="preserve">5.4 Comparative Semantic Quality Across All Systems</w:t>
      </w:r>
    </w:p>
    <w:p>
      <w:pPr>
        <w:spacing w:after="160" w:line="276"/>
        <w:jc w:val="both"/>
      </w:pPr>
      <w:r>
        <w:rPr>
          <w:rFonts w:ascii="Times New Roman" w:cs="Times New Roman" w:eastAsia="Times New Roman" w:hAnsi="Times New Roman"/>
          <w:b w:val="false"/>
          <w:bCs w:val="false"/>
          <w:i w:val="false"/>
          <w:iCs w:val="false"/>
          <w:sz w:val="24"/>
          <w:szCs w:val="24"/>
        </w:rPr>
        <w:t xml:space="preserve">Table 5.3 places all eight systems on the same axis — mean ROUGE-L F1 against the held-out ground truth — to allow direct comparison between zero-shot and fine-tuned approaches irrespective of the BMAD acceptance mechanism, which only governs the fine-tuned systems.</w:t>
      </w:r>
    </w:p>
    <w:p>
      <w:pPr>
        <w:spacing w:after="240" w:before="80"/>
        <w:jc w:val="center"/>
      </w:pPr>
      <w:r>
        <w:rPr>
          <w:rFonts w:ascii="Times New Roman" w:cs="Times New Roman" w:eastAsia="Times New Roman" w:hAnsi="Times New Roman"/>
          <w:b/>
          <w:bCs/>
          <w:i/>
          <w:iCs/>
          <w:sz w:val="22"/>
          <w:szCs w:val="22"/>
        </w:rPr>
        <w:t xml:space="preserve">Table 5.3: Mean ROUGE-L F1 across all eight systems (n = 279 each)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300"/>
      </w:tblGrid>
      <w:tr>
        <w:trPr>
          <w:tblHeader/>
        </w:trPr>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System</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Mean ROUGE-L F1</w:t>
            </w:r>
          </w:p>
        </w:tc>
        <w:tc>
          <w:tcPr>
            <w:tcW w:type="dxa" w:w="23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Std. Dev.</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0.487</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0.076</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0.441</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0.107</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0.432</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0.067</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0.383</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0.086</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0.341</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0.065</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0.339</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0.067</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0.304</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0.071</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0.294</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0.075</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Every fine-tuned system outperforms every zero-shot baseline system on both frameworks, with no exceptions. Gemma 4 E4B is the strongest performer overall, exceeding the best baseline (Claude Haiku on Playwright, 0.341) by 0.146 on the same framework. The ranking Gemma 4 E4B &gt; Phi-3 Mini &gt; baselines is consistent across both frameworks, and, as shown in Section 5.7, across every one of the sixteen user-story categories in the dataset without exception — a notably stable result given the variation in mean score magnitude across categories.</w:t>
      </w:r>
    </w:p>
    <w:p>
      <w:pPr>
        <w:pStyle w:val="Heading1"/>
        <w:spacing w:after="200" w:before="360"/>
      </w:pPr>
      <w:r>
        <w:rPr>
          <w:rFonts w:ascii="Times New Roman" w:cs="Times New Roman" w:eastAsia="Times New Roman" w:hAnsi="Times New Roman"/>
          <w:b/>
          <w:bCs/>
          <w:sz w:val="28"/>
          <w:szCs w:val="28"/>
        </w:rPr>
        <w:t xml:space="preserve">5.5 Statistical Significance Testing</w:t>
      </w:r>
    </w:p>
    <w:p>
      <w:pPr>
        <w:pStyle w:val="Heading2"/>
        <w:spacing w:after="140" w:before="260"/>
      </w:pPr>
      <w:r>
        <w:rPr>
          <w:rFonts w:ascii="Times New Roman" w:cs="Times New Roman" w:eastAsia="Times New Roman" w:hAnsi="Times New Roman"/>
          <w:b/>
          <w:bCs/>
          <w:sz w:val="24"/>
          <w:szCs w:val="24"/>
        </w:rPr>
        <w:t xml:space="preserve">5.5.1 Omnibus Analysis of Variance</w:t>
      </w:r>
    </w:p>
    <w:p>
      <w:pPr>
        <w:spacing w:after="160" w:line="276"/>
        <w:jc w:val="both"/>
      </w:pPr>
      <w:r>
        <w:rPr>
          <w:rFonts w:ascii="Times New Roman" w:cs="Times New Roman" w:eastAsia="Times New Roman" w:hAnsi="Times New Roman"/>
          <w:b w:val="false"/>
          <w:bCs w:val="false"/>
          <w:i w:val="false"/>
          <w:iCs w:val="false"/>
          <w:sz w:val="24"/>
          <w:szCs w:val="24"/>
        </w:rPr>
        <w:t xml:space="preserve">A one-way ANOVA was conducted on ROUGE-L F1 scores treating the eight systems as independent groups, to establish whether the differences observed in Table 5.3 exceed what would be expected from sampling variation alone.</w:t>
      </w:r>
    </w:p>
    <w:p>
      <w:pPr>
        <w:spacing w:after="240" w:before="80"/>
        <w:jc w:val="center"/>
      </w:pPr>
      <w:r>
        <w:rPr>
          <w:rFonts w:ascii="Times New Roman" w:cs="Times New Roman" w:eastAsia="Times New Roman" w:hAnsi="Times New Roman"/>
          <w:b/>
          <w:bCs/>
          <w:i/>
          <w:iCs/>
          <w:sz w:val="22"/>
          <w:szCs w:val="22"/>
        </w:rPr>
        <w:t xml:space="preserve">Table 5.4: One-way ANOVA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600"/>
      </w:tblGrid>
      <w:tr>
        <w:trPr>
          <w:tblHeader/>
        </w:trPr>
        <w:tc>
          <w:tcPr>
            <w:tcW w:type="dxa" w:w="3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Comparison</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Groups</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 statistic</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All eight systems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225.63</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1.01 × 10⁻²⁵³</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 only (4 models)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182.90</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2.18 × 10⁻⁹⁶</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 only (4 models)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311.72</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7.74 × 10⁻¹⁴⁷</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Baseline vs. fine-tuned (collapsed)</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1091.20</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3.84 × 10⁻¹⁹⁵</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All four comparisons are significant at p &lt; 0.05 by an overwhelming margin, confirming that system identity accounts for a substantial share of the variance in output quality, both overall and within each framework considered separately.</w:t>
      </w:r>
    </w:p>
    <w:p>
      <w:pPr>
        <w:pStyle w:val="Heading2"/>
        <w:spacing w:after="140" w:before="260"/>
      </w:pPr>
      <w:r>
        <w:rPr>
          <w:rFonts w:ascii="Times New Roman" w:cs="Times New Roman" w:eastAsia="Times New Roman" w:hAnsi="Times New Roman"/>
          <w:b/>
          <w:bCs/>
          <w:sz w:val="24"/>
          <w:szCs w:val="24"/>
        </w:rPr>
        <w:t xml:space="preserve">5.5.2 Paired Wilcoxon Signed-Rank Tests</w:t>
      </w:r>
    </w:p>
    <w:p>
      <w:pPr>
        <w:spacing w:after="160" w:line="276"/>
        <w:jc w:val="both"/>
      </w:pPr>
      <w:r>
        <w:rPr>
          <w:rFonts w:ascii="Times New Roman" w:cs="Times New Roman" w:eastAsia="Times New Roman" w:hAnsi="Times New Roman"/>
          <w:b w:val="false"/>
          <w:bCs w:val="false"/>
          <w:i w:val="false"/>
          <w:iCs w:val="false"/>
          <w:sz w:val="24"/>
          <w:szCs w:val="24"/>
        </w:rPr>
        <w:t xml:space="preserve">Because the omnibus ANOVA does not indicate which specific pairs of systems differ, and because the same 279 stories were scored by every system, paired Wilcoxon signed-rank tests were run for the ten substantively relevant pairwise comparisons per framework: each fine-tuned model against each baseline, and the two fine-tuned models against each other.</w:t>
      </w:r>
    </w:p>
    <w:p>
      <w:pPr>
        <w:spacing w:after="240" w:before="80"/>
        <w:jc w:val="center"/>
      </w:pPr>
      <w:r>
        <w:rPr>
          <w:rFonts w:ascii="Times New Roman" w:cs="Times New Roman" w:eastAsia="Times New Roman" w:hAnsi="Times New Roman"/>
          <w:b/>
          <w:bCs/>
          <w:i/>
          <w:iCs/>
          <w:sz w:val="22"/>
          <w:szCs w:val="22"/>
        </w:rPr>
        <w:t xml:space="preserve">Table 5.5: Paired Wilcoxon signed-rank tests (n = 279 per test)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2800"/>
      </w:tblGrid>
      <w:tr>
        <w:trPr>
          <w:tblHeader/>
        </w:trPr>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Comparison</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Mean Diff.</w:t>
            </w:r>
          </w:p>
        </w:tc>
        <w:tc>
          <w:tcPr>
            <w:tcW w:type="dxa" w:w="2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+0.147</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1.17 × 10⁻⁴⁰</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+0.146</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9.01 × 10⁻⁴⁷</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+0.137</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1.28 × 10⁻³⁸</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+0.148</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1.74 × 10⁻⁴⁴</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+0.090</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8.76 × 10⁻²⁷</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+0.091</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6.96 × 10⁻³⁸</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+0.079</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5.44 × 10⁻²⁴</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+0.094</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9.89 × 10⁻³⁴</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+0.058</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6.76 × 10⁻²³</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+0.054</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6.42 × 10⁻³²</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All ten paired comparisons are significant at p &lt; 10⁻²², an extremely conservative bar given the already stringent p &lt; 0.05 convention. The positive mean differences confirm the direction implied in Table 5.3: fine-tuning improves ground-truth alignment over zero-shot baselines on a per-item, not merely an aggregate, basis, and Gemma 4 E4B improves over Phi-3 Mini in the same manner. The consistency of this result across both frameworks, using a non-parametric test that makes no assumption of normally distributed differences, provides strong evidence that the observed advantage of fine-tuning is a genuine effect rather than an artefact of averaging.</w:t>
      </w:r>
    </w:p>
    <w:p>
      <w:pPr>
        <w:pStyle w:val="Heading1"/>
        <w:spacing w:after="200" w:before="360"/>
      </w:pPr>
      <w:r>
        <w:rPr>
          <w:rFonts w:ascii="Times New Roman" w:cs="Times New Roman" w:eastAsia="Times New Roman" w:hAnsi="Times New Roman"/>
          <w:b/>
          <w:bCs/>
          <w:sz w:val="28"/>
          <w:szCs w:val="28"/>
        </w:rPr>
        <w:t xml:space="preserve">5.6 Syntactic Validity Analysis</w:t>
      </w:r>
    </w:p>
    <w:p>
      <w:pPr>
        <w:spacing w:after="160" w:line="276"/>
        <w:jc w:val="both"/>
      </w:pPr>
      <w:r>
        <w:rPr>
          <w:rFonts w:ascii="Times New Roman" w:cs="Times New Roman" w:eastAsia="Times New Roman" w:hAnsi="Times New Roman"/>
          <w:b w:val="false"/>
          <w:bCs w:val="false"/>
          <w:i w:val="false"/>
          <w:iCs w:val="false"/>
          <w:sz w:val="24"/>
          <w:szCs w:val="24"/>
        </w:rPr>
        <w:t xml:space="preserve">Table 5.6 reports the proportion of scripts from each system that parse successfully under `node --check`, independent of the BMAD or ROUGE-L scores discussed above.</w:t>
      </w:r>
    </w:p>
    <w:p>
      <w:pPr>
        <w:spacing w:after="240" w:before="80"/>
        <w:jc w:val="center"/>
      </w:pPr>
      <w:r>
        <w:rPr>
          <w:rFonts w:ascii="Times New Roman" w:cs="Times New Roman" w:eastAsia="Times New Roman" w:hAnsi="Times New Roman"/>
          <w:b/>
          <w:bCs/>
          <w:i/>
          <w:iCs/>
          <w:sz w:val="22"/>
          <w:szCs w:val="22"/>
        </w:rPr>
        <w:t xml:space="preserve">Table 5.6: Syntax validity by system (n = 279 each)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00"/>
        <w:gridCol w:w="2400"/>
      </w:tblGrid>
      <w:tr>
        <w:trPr>
          <w:tblHeader/>
        </w:trPr>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System</w:t>
            </w:r>
          </w:p>
        </w:tc>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Valid</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Total</w:t>
            </w:r>
          </w:p>
        </w:tc>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Valid Rate</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97.8%</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97.8%</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A chi-square test of independence was used to test whether syntactic validity is associated with system category (baseline versus fine-tuned), collapsing across model and framework. The resulting contingency table is 1,110 valid and 6 invalid scripts on the baseline side, against an identical 1,110 valid and 6 invalid on the fine-tuned side (χ² = 0.00, df = 1, p = 1.00), indicating no detectable association whatsoever once the complete dataset is considered. This is a materially different and more favourable conclusion than an earlier interim analysis conducted on a partial subset of the dataset, which had found fine-tuned syntax validity trailing baseline validity at a statistically significant level (χ² = 26.08, p = 3.27 × 10⁻⁷). Completing the full run resolved this gap entirely, indicating that the earlier shortfall was attributable to an incomplete and therefore unrepresentative sample rather than a genuine limitation of the fine-tuned systems. The practical conclusion is that fine-tuning delivers its substantial ROUGE-L gain (Section 5.4) without any measurable cost in syntactic reliability.</w:t>
      </w:r>
    </w:p>
    <w:p>
      <w:pPr>
        <w:pStyle w:val="Heading1"/>
        <w:spacing w:after="200" w:before="360"/>
      </w:pPr>
      <w:r>
        <w:rPr>
          <w:rFonts w:ascii="Times New Roman" w:cs="Times New Roman" w:eastAsia="Times New Roman" w:hAnsi="Times New Roman"/>
          <w:b/>
          <w:bCs/>
          <w:sz w:val="28"/>
          <w:szCs w:val="28"/>
        </w:rPr>
        <w:t xml:space="preserve">5.7 Category-Level Error Analysis</w:t>
      </w:r>
    </w:p>
    <w:p>
      <w:pPr>
        <w:spacing w:after="160" w:line="276"/>
        <w:jc w:val="both"/>
      </w:pPr>
      <w:r>
        <w:rPr>
          <w:rFonts w:ascii="Times New Roman" w:cs="Times New Roman" w:eastAsia="Times New Roman" w:hAnsi="Times New Roman"/>
          <w:b w:val="false"/>
          <w:bCs w:val="false"/>
          <w:i w:val="false"/>
          <w:iCs w:val="false"/>
          <w:sz w:val="24"/>
          <w:szCs w:val="24"/>
        </w:rPr>
        <w:t xml:space="preserve">The 279-story dataset spans sixteen functional categories (authentication, CRUD operations, form validation, and so on). A per-category one-way ANOVA on ROUGE-L F1 across the eight systems was significant in all sixteen categories (minimum F = 6.94, maximum p = 1.11 × 10⁻⁶), confirming that the overall system-quality ranking established in Section 5.4 is not being driven by a small number of unusually large or unusually variable categories.</w:t>
      </w:r>
    </w:p>
    <w:p>
      <w:pPr>
        <w:spacing w:after="160" w:line="276"/>
        <w:jc w:val="both"/>
      </w:pPr>
      <w:r>
        <w:rPr>
          <w:rFonts w:ascii="Times New Roman" w:cs="Times New Roman" w:eastAsia="Times New Roman" w:hAnsi="Times New Roman"/>
          <w:b w:val="false"/>
          <w:bCs w:val="false"/>
          <w:i w:val="false"/>
          <w:iCs w:val="false"/>
          <w:sz w:val="24"/>
          <w:szCs w:val="24"/>
        </w:rPr>
        <w:t xml:space="preserve">Two categories stand out as consistently the hardest for the Cypress framework specifically: responsive-design testing and user-profile management. Table 5.7 isolates these two categories to illustrate the pattern; the fine-tuned advantage over baseline narrows sharply relative to the framework-wide averages in Table 5.3.</w:t>
      </w:r>
    </w:p>
    <w:p>
      <w:pPr>
        <w:spacing w:after="240" w:before="80"/>
        <w:jc w:val="center"/>
      </w:pPr>
      <w:r>
        <w:rPr>
          <w:rFonts w:ascii="Times New Roman" w:cs="Times New Roman" w:eastAsia="Times New Roman" w:hAnsi="Times New Roman"/>
          <w:b/>
          <w:bCs/>
          <w:i/>
          <w:iCs/>
          <w:sz w:val="22"/>
          <w:szCs w:val="22"/>
        </w:rPr>
        <w:t xml:space="preserve">Table 5.7: Mean ROUGE-L F1 for the two weakest Cypress categories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9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Category</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GPT-4o-mini</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Claude Haiku</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Phi-3 Mini</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Gemma 4 E4B</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Responsive (Cypress)</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0.290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0.272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0.315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0.329</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User Profile (Cypress)</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0.316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0.317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0.364</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Direct qualitative inspection of individual scripts in these two categories indicates that the narrowing is a metric-sensitivity effect rather than a genuine capability gap. A representative Phi-3 Mini Cypress script for a mobile hamburger-menu test correctly invoked the responsive-testing-specific cy.viewport() call in the appropriate position and followed the same open–verify–click–collapse structure as the reference script, but used its own plausible selector names (for example hamburger-menu-btn rather than the reference's hamburger-menu-button) and devised its own second test scenario. ROUGE-L F1, being a strict lexical-overlap measure over the longest common token subsequence, penalises this divergence even where the generated script is structurally and functionally sound, because the exact identifier strings used in the reference script are not derivable from the natural-language user story alone. Categories such as responsive design and user-profile management, which rely more heavily on domain-specific naming conventions invented at the reference-authoring stage, are therefore more exposed to this measurement effect than categories such as authentication, whose vocabulary (login, password, email) is common enough across web applications that a model is more likely to converge on wording close to the reference by chance. This observation does not overturn the overall finding of Section 5.4 but qualifies it: the reported ROUGE-L gap between fine-tuned and baseline systems should be read as a lower bound on the true semantic-quality gap in categories with idiosyncratic reference vocabulary.</w:t>
      </w:r>
    </w:p>
    <w:p>
      <w:pPr>
        <w:pStyle w:val="Heading1"/>
        <w:spacing w:after="200" w:before="360"/>
      </w:pPr>
      <w:r>
        <w:rPr>
          <w:rFonts w:ascii="Times New Roman" w:cs="Times New Roman" w:eastAsia="Times New Roman" w:hAnsi="Times New Roman"/>
          <w:b/>
          <w:bCs/>
          <w:sz w:val="28"/>
          <w:szCs w:val="28"/>
        </w:rPr>
        <w:t xml:space="preserve">5.8 Discussion</w:t>
      </w:r>
    </w:p>
    <w:p>
      <w:pPr>
        <w:spacing w:after="160" w:line="276"/>
        <w:jc w:val="both"/>
      </w:pPr>
      <w:r>
        <w:rPr>
          <w:rFonts w:ascii="Times New Roman" w:cs="Times New Roman" w:eastAsia="Times New Roman" w:hAnsi="Times New Roman"/>
          <w:b w:val="false"/>
          <w:bCs w:val="false"/>
          <w:i w:val="false"/>
          <w:iCs w:val="false"/>
          <w:sz w:val="24"/>
          <w:szCs w:val="24"/>
        </w:rPr>
        <w:t xml:space="preserve">Three findings taken together support the central claim of this dissertation. First, the ranking Gemma 4 E4B &gt; Phi-3 Mini &gt; zero-shot baselines is not an artefact of aggregation: it holds without a single exception across both frameworks and across all sixteen user-story categories, and it is confirmed by a paired non-parametric test at p &lt; 10⁻²² in every one of the ten pairwise comparisons examined. Second, this quality gain is not purchased at the cost of syntactic reliability: once evaluated on the complete dataset, fine-tuned and baseline systems are statistically indistinguishable on syntax validity (χ² = 0, p = 1.00). Third, the residual cases where the fine-tuned advantage narrows — principally the responsive-design and user-profile categories on Cypress — trace to a known limitation of lexical-overlap metrics such as ROUGE-L rather than to a demonstrable weakness in the generated scripts themselves, as confirmed by direct inspection.</w:t>
      </w:r>
    </w:p>
    <w:p>
      <w:pPr>
        <w:spacing w:after="160" w:line="276"/>
        <w:jc w:val="both"/>
      </w:pPr>
      <w:r>
        <w:rPr>
          <w:rFonts w:ascii="Times New Roman" w:cs="Times New Roman" w:eastAsia="Times New Roman" w:hAnsi="Times New Roman"/>
          <w:b w:val="false"/>
          <w:bCs w:val="false"/>
          <w:i w:val="false"/>
          <w:iCs w:val="false"/>
          <w:sz w:val="24"/>
          <w:szCs w:val="24"/>
        </w:rPr>
        <w:t xml:space="preserve">One methodological caveat is recorded for completeness. ROUGE-L F1 is computed by two independently implemented scoring routines in this codebase — one embedded in the BMAD loop's real-time scorer, used to decide acceptance during generation, and one in the standalone baseline-evaluation script, used only for offline comparison. Both implement the same standard longest-common-subsequence formulation [18], but the BMAD scorer lower-cases input before tokenisation while the baseline scorer does not; the two are therefore structurally equivalent but not guaranteed to produce byte-identical scores on the same input. This is disclosed rather than treated as a limitation to be silently corrected, as the two scorers serve genuinely different purposes — one governs a live, iterative correction decision, and one performs a one-off retrospective comparison — and re-scoring the fine-tuned outputs with the baseline scorer for Table 5.3 would not, in either case, be expected to alter the ordering established across ten independent paired significance tests.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2026-07-17T19:46:52.017Z</dcterms:created>
  <dcterms:modified xsi:type="dcterms:W3CDTF">2026-07-17T19:46:52.018Z</dcterms:modified>
</cp:coreProperties>
</file>

<file path=docProps/custom.xml><?xml version="1.0" encoding="utf-8"?>
<Properties xmlns="http://schemas.openxmlformats.org/officeDocument/2006/custom-properties" xmlns:vt="http://schemas.openxmlformats.org/officeDocument/2006/docPropsVTypes"/>
</file>