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jc w:val="center"/>
      </w:pPr>
      <w:r>
        <w:rPr>
          <w:rFonts w:ascii="Times New Roman" w:cs="Times New Roman" w:eastAsia="Times New Roman" w:hAnsi="Times New Roman"/>
          <w:b/>
          <w:bCs/>
          <w:sz w:val="28"/>
          <w:szCs w:val="28"/>
        </w:rPr>
        <w:t xml:space="preserve">ABBREVIATIONS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Abbreviation</w:t>
            </w:r>
          </w:p>
        </w:tc>
        <w:tc>
          <w:tcPr>
            <w:tcW w:type="dxa" w:w="69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Full Form</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AI</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Artificial Intelligence</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ANOVA</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Analysis of Variance</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API</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Application Programming Interface</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bfloat16</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Brain Floating Point 16</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BMAD</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Build, Measure, Assess, Decide</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CI/CD</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Continuous Integration / Continuous Delivery</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CRUD</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Create, Read, Update, Delete</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CUDA</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Compute Unified Device Architecture</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E2E</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End-to-End</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Eval Token Acc.</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Evaluation Token Accuracy</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F1</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F1 Score (harmonic mean of precision and recall)</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fp16</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16-bit Floating Point</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GPT</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Generative Pre-trained Transformer</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GPU</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Graphics Processing Unit</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HTTP</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Hypertext Transfer Protocol</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JSON</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JavaScript Object Notation</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JSONL</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JSON Lines (newline-delimited JSON)</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LLM</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Large Language Model</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LoRA</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Low-Rank Adaptation</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ML</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Machine Learning</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MPS</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Metal Performance Shaders</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NLP</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Natural Language Processing</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PEFT</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Parameter-Efficient Fine-Tuning</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QA</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Quality Assurance</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QLoRA</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Quantised Low-Rank Adaptation</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ROUGE-L</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Recall-Oriented Understudy for Gisting Evaluation – Longest Common Subsequence</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SFT</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Supervised Fine-Tuning</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TC</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Test Case (per-record result identifier, e.g. TC_001)</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TRL</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Transformer Reinforcement Learning (HuggingFace library)</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UI</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User Interface</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WILP</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Work Integrated Learning Programme</w:t>
            </w:r>
          </w:p>
        </w:tc>
      </w:tr>
    </w:tbl>
    <w:p>
      <w:r>
        <w:br w:type="page"/>
      </w:r>
    </w:p>
    <w:p>
      <w:pPr>
        <w:pStyle w:val="Heading1"/>
        <w:spacing w:after="200" w:before="0"/>
        <w:jc w:val="center"/>
      </w:pPr>
      <w:r>
        <w:rPr>
          <w:rFonts w:ascii="Times New Roman" w:cs="Times New Roman" w:eastAsia="Times New Roman" w:hAnsi="Times New Roman"/>
          <w:b/>
          <w:bCs/>
          <w:sz w:val="28"/>
          <w:szCs w:val="28"/>
        </w:rPr>
        <w:t xml:space="preserve">REFERENCES</w:t>
      </w:r>
    </w:p>
    <w:p>
      <w:pPr>
        <w:spacing w:after="140" w:line="276"/>
        <w:jc w:val="left"/>
      </w:pPr>
      <w:r>
        <w:rPr>
          <w:rFonts w:ascii="Times New Roman" w:cs="Times New Roman" w:eastAsia="Times New Roman" w:hAnsi="Times New Roman"/>
          <w:b w:val="false"/>
          <w:bCs w:val="false"/>
          <w:i w:val="false"/>
          <w:iCs w:val="false"/>
          <w:sz w:val="24"/>
          <w:szCs w:val="24"/>
        </w:rPr>
        <w:t xml:space="preserve">[1] M. Chen et al., “Evaluating Large Language Models Trained on Code,” arXiv:2107.03374, 2021.</w:t>
      </w:r>
    </w:p>
    <w:p>
      <w:pPr>
        <w:spacing w:after="140" w:line="276"/>
        <w:jc w:val="left"/>
      </w:pPr>
      <w:r>
        <w:rPr>
          <w:rFonts w:ascii="Times New Roman" w:cs="Times New Roman" w:eastAsia="Times New Roman" w:hAnsi="Times New Roman"/>
          <w:b w:val="false"/>
          <w:bCs w:val="false"/>
          <w:i w:val="false"/>
          <w:iCs w:val="false"/>
          <w:sz w:val="24"/>
          <w:szCs w:val="24"/>
        </w:rPr>
        <w:t xml:space="preserve">[2] J. Austin et al., “Program Synthesis with Large Language Models,” arXiv:2108.07732, 2021.</w:t>
      </w:r>
    </w:p>
    <w:p>
      <w:pPr>
        <w:spacing w:after="140" w:line="276"/>
        <w:jc w:val="left"/>
      </w:pPr>
      <w:r>
        <w:rPr>
          <w:rFonts w:ascii="Times New Roman" w:cs="Times New Roman" w:eastAsia="Times New Roman" w:hAnsi="Times New Roman"/>
          <w:b w:val="false"/>
          <w:bCs w:val="false"/>
          <w:i w:val="false"/>
          <w:iCs w:val="false"/>
          <w:sz w:val="24"/>
          <w:szCs w:val="24"/>
        </w:rPr>
        <w:t xml:space="preserve">[3] Z. Liu et al., “Is Your Code Generated by ChatGPT Really Correct? Rigorous Evaluation of Large Language Models for Code Generation,” NeurIPS, 2023.</w:t>
      </w:r>
    </w:p>
    <w:p>
      <w:pPr>
        <w:spacing w:after="140" w:line="276"/>
        <w:jc w:val="left"/>
      </w:pPr>
      <w:r>
        <w:rPr>
          <w:rFonts w:ascii="Times New Roman" w:cs="Times New Roman" w:eastAsia="Times New Roman" w:hAnsi="Times New Roman"/>
          <w:b w:val="false"/>
          <w:bCs w:val="false"/>
          <w:i w:val="false"/>
          <w:iCs w:val="false"/>
          <w:sz w:val="24"/>
          <w:szCs w:val="24"/>
        </w:rPr>
        <w:t xml:space="preserve">[4] R. Li et al., “StarCoder: May the Source Be with You!” arXiv:2305.06161, 2023.</w:t>
      </w:r>
    </w:p>
    <w:p>
      <w:pPr>
        <w:spacing w:after="140" w:line="276"/>
        <w:jc w:val="left"/>
      </w:pPr>
      <w:r>
        <w:rPr>
          <w:rFonts w:ascii="Times New Roman" w:cs="Times New Roman" w:eastAsia="Times New Roman" w:hAnsi="Times New Roman"/>
          <w:b w:val="false"/>
          <w:bCs w:val="false"/>
          <w:i w:val="false"/>
          <w:iCs w:val="false"/>
          <w:sz w:val="24"/>
          <w:szCs w:val="24"/>
        </w:rPr>
        <w:t xml:space="preserve">[5] D. Guo et al., “DeepSeek-Coder: When the Large Language Model Meets Programming,” arXiv:2401.14196, 2024.</w:t>
      </w:r>
    </w:p>
    <w:p>
      <w:pPr>
        <w:spacing w:after="140" w:line="276"/>
        <w:jc w:val="left"/>
      </w:pPr>
      <w:r>
        <w:rPr>
          <w:rFonts w:ascii="Times New Roman" w:cs="Times New Roman" w:eastAsia="Times New Roman" w:hAnsi="Times New Roman"/>
          <w:b w:val="false"/>
          <w:bCs w:val="false"/>
          <w:i w:val="false"/>
          <w:iCs w:val="false"/>
          <w:sz w:val="24"/>
          <w:szCs w:val="24"/>
        </w:rPr>
        <w:t xml:space="preserve">[6] E. J. Hu et al., “LoRA: Low-Rank Adaptation of Large Language Models,” ICLR, 2022.</w:t>
      </w:r>
    </w:p>
    <w:p>
      <w:pPr>
        <w:spacing w:after="140" w:line="276"/>
        <w:jc w:val="left"/>
      </w:pPr>
      <w:r>
        <w:rPr>
          <w:rFonts w:ascii="Times New Roman" w:cs="Times New Roman" w:eastAsia="Times New Roman" w:hAnsi="Times New Roman"/>
          <w:b w:val="false"/>
          <w:bCs w:val="false"/>
          <w:i w:val="false"/>
          <w:iCs w:val="false"/>
          <w:sz w:val="24"/>
          <w:szCs w:val="24"/>
        </w:rPr>
        <w:t xml:space="preserve">[7] T. Dettmers et al., “QLoRA: Efficient Finetuning of Quantized LLMs,” NeurIPS, 2023.</w:t>
      </w:r>
    </w:p>
    <w:p>
      <w:pPr>
        <w:spacing w:after="140" w:line="276"/>
        <w:jc w:val="left"/>
      </w:pPr>
      <w:r>
        <w:rPr>
          <w:rFonts w:ascii="Times New Roman" w:cs="Times New Roman" w:eastAsia="Times New Roman" w:hAnsi="Times New Roman"/>
          <w:b w:val="false"/>
          <w:bCs w:val="false"/>
          <w:i w:val="false"/>
          <w:iCs w:val="false"/>
          <w:sz w:val="24"/>
          <w:szCs w:val="24"/>
        </w:rPr>
        <w:t xml:space="preserve">[8] S. Yao et al., “ReAct: Synergizing Reasoning and Acting in Language Models,” ICLR, 2023.</w:t>
      </w:r>
    </w:p>
    <w:p>
      <w:pPr>
        <w:spacing w:after="140" w:line="276"/>
        <w:jc w:val="left"/>
      </w:pPr>
      <w:r>
        <w:rPr>
          <w:rFonts w:ascii="Times New Roman" w:cs="Times New Roman" w:eastAsia="Times New Roman" w:hAnsi="Times New Roman"/>
          <w:b w:val="false"/>
          <w:bCs w:val="false"/>
          <w:i w:val="false"/>
          <w:iCs w:val="false"/>
          <w:sz w:val="24"/>
          <w:szCs w:val="24"/>
        </w:rPr>
        <w:t xml:space="preserve">[9] Q. Wang et al., “AutoGen: Enabling Next-Gen LLM Applications via Multi-Agent Conversation,” arXiv:2308.08155, 2023.</w:t>
      </w:r>
    </w:p>
    <w:p>
      <w:pPr>
        <w:spacing w:after="140" w:line="276"/>
        <w:jc w:val="left"/>
      </w:pPr>
      <w:r>
        <w:rPr>
          <w:rFonts w:ascii="Times New Roman" w:cs="Times New Roman" w:eastAsia="Times New Roman" w:hAnsi="Times New Roman"/>
          <w:b w:val="false"/>
          <w:bCs w:val="false"/>
          <w:i w:val="false"/>
          <w:iCs w:val="false"/>
          <w:sz w:val="24"/>
          <w:szCs w:val="24"/>
        </w:rPr>
        <w:t xml:space="preserve">[10] N. Shinn et al., “Reflexion: Language Agents with Verbal Reinforcement Learning,” NeurIPS, 2023.</w:t>
      </w:r>
    </w:p>
    <w:p>
      <w:pPr>
        <w:spacing w:after="140" w:line="276"/>
        <w:jc w:val="left"/>
      </w:pPr>
      <w:r>
        <w:rPr>
          <w:rFonts w:ascii="Times New Roman" w:cs="Times New Roman" w:eastAsia="Times New Roman" w:hAnsi="Times New Roman"/>
          <w:b w:val="false"/>
          <w:bCs w:val="false"/>
          <w:i w:val="false"/>
          <w:iCs w:val="false"/>
          <w:sz w:val="24"/>
          <w:szCs w:val="24"/>
        </w:rPr>
        <w:t xml:space="preserve">[11] G. J. Myers, C. Sandler, and T. Badgett, The Art of Software Testing, 3rd ed. Hoboken, NJ: Wiley, 2011.</w:t>
      </w:r>
    </w:p>
    <w:p>
      <w:pPr>
        <w:spacing w:after="140" w:line="276"/>
        <w:jc w:val="left"/>
      </w:pPr>
      <w:r>
        <w:rPr>
          <w:rFonts w:ascii="Times New Roman" w:cs="Times New Roman" w:eastAsia="Times New Roman" w:hAnsi="Times New Roman"/>
          <w:b w:val="false"/>
          <w:bCs w:val="false"/>
          <w:i w:val="false"/>
          <w:iCs w:val="false"/>
          <w:sz w:val="24"/>
          <w:szCs w:val="24"/>
        </w:rPr>
        <w:t xml:space="preserve">[12] T. B. Brown et al., “Language Models are Few-Shot Learners,” in Advances in Neural Information Processing Systems (NeurIPS), 2020.</w:t>
      </w:r>
    </w:p>
    <w:p>
      <w:pPr>
        <w:spacing w:after="140" w:line="276"/>
        <w:jc w:val="left"/>
      </w:pPr>
      <w:r>
        <w:rPr>
          <w:rFonts w:ascii="Times New Roman" w:cs="Times New Roman" w:eastAsia="Times New Roman" w:hAnsi="Times New Roman"/>
          <w:b w:val="false"/>
          <w:bCs w:val="false"/>
          <w:i w:val="false"/>
          <w:iCs w:val="false"/>
          <w:sz w:val="24"/>
          <w:szCs w:val="24"/>
        </w:rPr>
        <w:t xml:space="preserve">[13] Cypress.io, “Cypress: Fast, Easy and Reliable End-to-End Testing for Anything that Runs in a Browser,” https://www.cypress.io, 2023.</w:t>
      </w:r>
    </w:p>
    <w:p>
      <w:pPr>
        <w:spacing w:after="140" w:line="276"/>
        <w:jc w:val="left"/>
      </w:pPr>
      <w:r>
        <w:rPr>
          <w:rFonts w:ascii="Times New Roman" w:cs="Times New Roman" w:eastAsia="Times New Roman" w:hAnsi="Times New Roman"/>
          <w:b w:val="false"/>
          <w:bCs w:val="false"/>
          <w:i w:val="false"/>
          <w:iCs w:val="false"/>
          <w:sz w:val="24"/>
          <w:szCs w:val="24"/>
        </w:rPr>
        <w:t xml:space="preserve">[14] Microsoft, “Playwright: Reliable End-to-End Testing for Modern Web Apps,” https://playwright.dev, 2023.</w:t>
      </w:r>
    </w:p>
    <w:p>
      <w:pPr>
        <w:spacing w:after="140" w:line="276"/>
        <w:jc w:val="left"/>
      </w:pPr>
      <w:r>
        <w:rPr>
          <w:rFonts w:ascii="Times New Roman" w:cs="Times New Roman" w:eastAsia="Times New Roman" w:hAnsi="Times New Roman"/>
          <w:b w:val="false"/>
          <w:bCs w:val="false"/>
          <w:i w:val="false"/>
          <w:iCs w:val="false"/>
          <w:sz w:val="24"/>
          <w:szCs w:val="24"/>
        </w:rPr>
        <w:t xml:space="preserve">[15] M. Leotta, D. Clerissi, F. Ricca, and P. Tonella, “Comparing the Maintainability of Selenium WebDriver Test Suites Employing Different Design Patterns,” in Proc. 2013 Int. Workshop on Joining AcadeMiA and Industry Contributions to Testing Automation (JAMIA), 2013, pp. 11–20.</w:t>
      </w:r>
    </w:p>
    <w:p>
      <w:pPr>
        <w:spacing w:after="140" w:line="276"/>
        <w:jc w:val="left"/>
      </w:pPr>
      <w:r>
        <w:rPr>
          <w:rFonts w:ascii="Times New Roman" w:cs="Times New Roman" w:eastAsia="Times New Roman" w:hAnsi="Times New Roman"/>
          <w:b w:val="false"/>
          <w:bCs w:val="false"/>
          <w:i w:val="false"/>
          <w:iCs w:val="false"/>
          <w:sz w:val="24"/>
          <w:szCs w:val="24"/>
        </w:rPr>
        <w:t xml:space="preserve">[16] Anthropic, “Claude Haiku (claude-haiku-4-5),” Anthropic, San Francisco, CA, 2024. [Online]. Available: https://www.anthropic.com/claude</w:t>
      </w:r>
    </w:p>
    <w:p>
      <w:pPr>
        <w:spacing w:after="140" w:line="276"/>
        <w:jc w:val="left"/>
      </w:pPr>
      <w:r>
        <w:rPr>
          <w:rFonts w:ascii="Times New Roman" w:cs="Times New Roman" w:eastAsia="Times New Roman" w:hAnsi="Times New Roman"/>
          <w:b w:val="false"/>
          <w:bCs w:val="false"/>
          <w:i w:val="false"/>
          <w:iCs w:val="false"/>
          <w:sz w:val="24"/>
          <w:szCs w:val="24"/>
        </w:rPr>
        <w:t xml:space="preserve">[17] OpenAI, “GPT-4o mini,” OpenAI, San Francisco, CA, 2024. [Online]. Available: https://openai.com/index/gpt-4o-mini-advancing-cost-efficient-intelligence/</w:t>
      </w:r>
    </w:p>
    <w:p>
      <w:pPr>
        <w:spacing w:after="140" w:line="276"/>
        <w:jc w:val="left"/>
      </w:pPr>
      <w:r>
        <w:rPr>
          <w:rFonts w:ascii="Times New Roman" w:cs="Times New Roman" w:eastAsia="Times New Roman" w:hAnsi="Times New Roman"/>
          <w:b w:val="false"/>
          <w:bCs w:val="false"/>
          <w:i w:val="false"/>
          <w:iCs w:val="false"/>
          <w:sz w:val="24"/>
          <w:szCs w:val="24"/>
        </w:rPr>
        <w:t xml:space="preserve">[18] C.-Y. Lin, “ROUGE: A Package for Automatic Evaluation of Summaries,” in Proc. ACL Workshop on Text Summarization Branches Out, 2004, pp. 74–81.</w:t>
      </w:r>
    </w:p>
    <w:p>
      <w:pPr>
        <w:spacing w:after="140" w:line="276"/>
        <w:jc w:val="left"/>
      </w:pPr>
      <w:r>
        <w:rPr>
          <w:rFonts w:ascii="Times New Roman" w:cs="Times New Roman" w:eastAsia="Times New Roman" w:hAnsi="Times New Roman"/>
          <w:b w:val="false"/>
          <w:bCs w:val="false"/>
          <w:i w:val="false"/>
          <w:iCs w:val="false"/>
          <w:sz w:val="24"/>
          <w:szCs w:val="24"/>
        </w:rPr>
        <w:t xml:space="preserve">[19] Google DeepMind, “Gemma 3 Technical Report,” Google DeepMind, 2025. [Online]. Available: https://ai.google.dev/gemma/docs/gemma3</w:t>
      </w:r>
    </w:p>
    <w:p>
      <w:pPr>
        <w:spacing w:after="140" w:line="276"/>
        <w:jc w:val="left"/>
      </w:pPr>
      <w:r>
        <w:rPr>
          <w:rFonts w:ascii="Times New Roman" w:cs="Times New Roman" w:eastAsia="Times New Roman" w:hAnsi="Times New Roman"/>
          <w:b w:val="false"/>
          <w:bCs w:val="false"/>
          <w:i w:val="false"/>
          <w:iCs w:val="false"/>
          <w:sz w:val="24"/>
          <w:szCs w:val="24"/>
        </w:rPr>
        <w:t xml:space="preserve">[20] T. Wolf et al., “Bfloat16: The Secret to High Performance on Cloud TPUs,” Google Brain, 2019. [Online]. Available: https://cloud.google.com/blog/products/ai-machine-learning/bfloat16-the-secret-to-high-performance-on-cloud-tpus</w:t>
      </w:r>
    </w:p>
    <w:p>
      <w:pPr>
        <w:spacing w:after="140" w:line="276"/>
        <w:jc w:val="left"/>
      </w:pPr>
      <w:r>
        <w:rPr>
          <w:rFonts w:ascii="Times New Roman" w:cs="Times New Roman" w:eastAsia="Times New Roman" w:hAnsi="Times New Roman"/>
          <w:b w:val="false"/>
          <w:bCs w:val="false"/>
          <w:i w:val="false"/>
          <w:iCs w:val="false"/>
          <w:sz w:val="24"/>
          <w:szCs w:val="24"/>
        </w:rPr>
        <w:t xml:space="preserve">[21] L. von Werra et al., “TRL: Transformer Reinforcement Learning,” GitHub, 2020. [Online]. Available: https://github.com/huggingface/trl</w:t>
      </w:r>
    </w:p>
    <w:p>
      <w:pPr>
        <w:spacing w:after="140" w:line="276"/>
        <w:jc w:val="left"/>
      </w:pPr>
      <w:r>
        <w:rPr>
          <w:rFonts w:ascii="Times New Roman" w:cs="Times New Roman" w:eastAsia="Times New Roman" w:hAnsi="Times New Roman"/>
          <w:b w:val="false"/>
          <w:bCs w:val="false"/>
          <w:i w:val="false"/>
          <w:iCs w:val="false"/>
          <w:sz w:val="24"/>
          <w:szCs w:val="24"/>
        </w:rPr>
        <w:t xml:space="preserve">[22] R. A. Fisher, The Design of Experiments, 8th ed. Edinburgh: Oliver and Boyd, 1935. (Establishes the analysis-of-variance methodology applied in Chapter 5.)</w:t>
      </w:r>
    </w:p>
    <w:p>
      <w:pPr>
        <w:spacing w:after="140" w:line="276"/>
        <w:jc w:val="left"/>
      </w:pPr>
      <w:r>
        <w:rPr>
          <w:rFonts w:ascii="Times New Roman" w:cs="Times New Roman" w:eastAsia="Times New Roman" w:hAnsi="Times New Roman"/>
          <w:b w:val="false"/>
          <w:bCs w:val="false"/>
          <w:i w:val="false"/>
          <w:iCs w:val="false"/>
          <w:sz w:val="24"/>
          <w:szCs w:val="24"/>
        </w:rPr>
        <w:t xml:space="preserve">[23] F. Wilcoxon, “Individual Comparisons by Ranking Methods,” Biometrics Bulletin, vol. 1, no. 6, pp. 80–83, 1945.</w:t>
      </w:r>
    </w:p>
    <w:p>
      <w:pPr>
        <w:spacing w:after="140" w:line="276"/>
        <w:jc w:val="left"/>
      </w:pPr>
      <w:r>
        <w:rPr>
          <w:rFonts w:ascii="Times New Roman" w:cs="Times New Roman" w:eastAsia="Times New Roman" w:hAnsi="Times New Roman"/>
          <w:b w:val="false"/>
          <w:bCs w:val="false"/>
          <w:i w:val="false"/>
          <w:iCs w:val="false"/>
          <w:sz w:val="24"/>
          <w:szCs w:val="24"/>
        </w:rPr>
        <w:t xml:space="preserve">[24] K. Pearson, “On the Criterion that a Given System of Deviations from the Probable in the Case of a Correlated System of Variables is Such that it Can be Reasonably Supposed to have Arisen from Random Sampling,” Philosophical Magazine, Series 5, vol. 50, no. 302, pp. 157–175, 1900.</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2026-07-17T20:01:25.010Z</dcterms:created>
  <dcterms:modified xsi:type="dcterms:W3CDTF">2026-07-17T20:01:25.011Z</dcterms:modified>
</cp:coreProperties>
</file>

<file path=docProps/custom.xml><?xml version="1.0" encoding="utf-8"?>
<Properties xmlns="http://schemas.openxmlformats.org/officeDocument/2006/custom-properties" xmlns:vt="http://schemas.openxmlformats.org/officeDocument/2006/docPropsVTypes"/>
</file>