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0"/>
      </w:pPr>
      <w:r>
        <w:rPr>
          <w:rFonts w:ascii="Times New Roman" w:cs="Times New Roman" w:eastAsia="Times New Roman" w:hAnsi="Times New Roman"/>
          <w:b/>
          <w:bCs/>
          <w:sz w:val="28"/>
          <w:szCs w:val="28"/>
        </w:rPr>
        <w:t xml:space="preserve">CONCLUSION AND FUTURE WORK</w:t>
      </w:r>
    </w:p>
    <w:p>
      <w:pPr>
        <w:pStyle w:val="Heading1"/>
        <w:spacing w:after="200" w:before="360"/>
      </w:pPr>
      <w:r>
        <w:rPr>
          <w:rFonts w:ascii="Times New Roman" w:cs="Times New Roman" w:eastAsia="Times New Roman" w:hAnsi="Times New Roman"/>
          <w:b/>
          <w:bCs/>
          <w:sz w:val="28"/>
          <w:szCs w:val="28"/>
        </w:rPr>
        <w:t xml:space="preserve">8.1 Conclusion</w:t>
      </w:r>
    </w:p>
    <w:p>
      <w:pPr>
        <w:spacing w:after="160" w:line="276"/>
        <w:jc w:val="both"/>
      </w:pPr>
      <w:r>
        <w:rPr>
          <w:rFonts w:ascii="Times New Roman" w:cs="Times New Roman" w:eastAsia="Times New Roman" w:hAnsi="Times New Roman"/>
          <w:b w:val="false"/>
          <w:bCs w:val="false"/>
          <w:i w:val="false"/>
          <w:iCs w:val="false"/>
          <w:sz w:val="24"/>
          <w:szCs w:val="24"/>
        </w:rPr>
        <w:t xml:space="preserve">This dissertation set out to investigate whether a domain-fine-tuned large language model, embedded inside an agentic self-correction loop, can autonomously produce syntactically valid and semantically faithful end-to-end user-interface test scripts directly from natural-language user stories. The motivation was the persistent quality-assurance bottleneck in modern software teams, where manual authoring and maintenance of end-to-end test scripts consumes disproportionate engineering effort relative to the value delivered. Eight phases of work were undertaken to answer this question: a curated, framework-balanced dataset of 279 Jira-style user stories was constructed and validated; two commercial large language models were evaluated as zero-shot reference systems; two open-weight models, Phi-3 Mini and Gemma 4 E4B, were adapted through QLoRA parameter-efficient fine-tuning into framework-isolated adapters for Cypress and Playwright; a Build–Measure–Assess–Decide agentic correction loop was implemented to iteratively refine generated scripts against a composite quality threshold; and a comprehensive statistical evaluation was carried out comparing all eight resulting systems on the complete held-out dataset.</w:t>
      </w:r>
    </w:p>
    <w:p>
      <w:pPr>
        <w:spacing w:after="160" w:line="276"/>
        <w:jc w:val="both"/>
      </w:pPr>
      <w:r>
        <w:rPr>
          <w:rFonts w:ascii="Times New Roman" w:cs="Times New Roman" w:eastAsia="Times New Roman" w:hAnsi="Times New Roman"/>
          <w:b w:val="false"/>
          <w:bCs w:val="false"/>
          <w:i w:val="false"/>
          <w:iCs w:val="false"/>
          <w:sz w:val="24"/>
          <w:szCs w:val="24"/>
        </w:rPr>
        <w:t xml:space="preserve">The evaluation reported in Chapter 7 answers the research question in the affirmative, with three specific, statistically substantiated conclusions. First, fine-tuning produces a large and highly consistent improvement in ground-truth semantic alignment over zero-shot prompting: the ranking Gemma 4 E4B &gt; Phi-3 Mini &gt; commercial baselines holds without a single exception across both frameworks and across all sixteen functional categories in the dataset, and every one of the ten paired Wilcoxon signed-rank comparisons conducted was significant at p &lt; 10⁻²². Second, this improvement is not obtained at the expense of syntactic reliability: once evaluated on the complete dataset rather than a partial sample, fine-tuned and baseline systems are statistically indistinguishable on syntax validity (χ² = 0.00, p = 1.00). Third, the agentic correction loop itself is an effective mechanism for closing the residual gap between a first-attempt generation and an acceptable script, with the strongest configuration — Gemma 4 E4B on Cypress — reaching a 100% acceptance rate across all 279 held-out stories.</w:t>
      </w:r>
    </w:p>
    <w:p>
      <w:pPr>
        <w:spacing w:after="160" w:line="276"/>
        <w:jc w:val="both"/>
      </w:pPr>
      <w:r>
        <w:rPr>
          <w:rFonts w:ascii="Times New Roman" w:cs="Times New Roman" w:eastAsia="Times New Roman" w:hAnsi="Times New Roman"/>
          <w:b w:val="false"/>
          <w:bCs w:val="false"/>
          <w:i w:val="false"/>
          <w:iCs w:val="false"/>
          <w:sz w:val="24"/>
          <w:szCs w:val="24"/>
        </w:rPr>
        <w:t xml:space="preserve">Beyond the headline quantitative result, this work makes three further contributions that are methodological rather than purely empirical. The evaluation design pairs every one of the 279 stories across all eight systems, enabling item-level non-parametric significance testing rather than comparison of aggregate means alone — a stronger design than is typical in comparable code-generation studies, where baseline and treatment systems are often evaluated on non-identical or non-paired samples. Second, two measurement artefacts were identified and corrected during the course of the evaluation itself: an unstripped Markdown code fence that had suppressed Claude Haiku's apparent Playwright syntax-validity score by more than thirty percentage points, and an incomplete-dataset sample that had made fine-tuned syntax reliability appear to lag baseline reliability by a statistically significant margin, a gap that closed entirely once the full 279-story dataset was scored. Both corrections are reported transparently in Chapter 7 rather than silently absorbed into the final figures, illustrating a broader methodological point for automated code-generation research: an unexpected per-system result should be treated as a candidate measurement artefact and investigated before it is accepted as a genuine finding. Third, the category-level analysis in Section 7.7 demonstrates that a lexical-overlap metric such as ROUGE-L can systematically understate model quality in categories whose reference scripts rely on idiosyncratic, non-derivable naming conventions, a qualification that should inform how future work in this area interprets ROUGE-L-based comparisons.</w:t>
      </w:r>
    </w:p>
    <w:p>
      <w:pPr>
        <w:pStyle w:val="Heading1"/>
        <w:spacing w:after="200" w:before="360"/>
      </w:pPr>
      <w:r>
        <w:rPr>
          <w:rFonts w:ascii="Times New Roman" w:cs="Times New Roman" w:eastAsia="Times New Roman" w:hAnsi="Times New Roman"/>
          <w:b/>
          <w:bCs/>
          <w:sz w:val="28"/>
          <w:szCs w:val="28"/>
        </w:rPr>
        <w:t xml:space="preserve">8.2 Limitations</w:t>
      </w:r>
    </w:p>
    <w:p>
      <w:pPr>
        <w:spacing w:after="160" w:line="276"/>
        <w:jc w:val="both"/>
      </w:pPr>
      <w:r>
        <w:rPr>
          <w:rFonts w:ascii="Times New Roman" w:cs="Times New Roman" w:eastAsia="Times New Roman" w:hAnsi="Times New Roman"/>
          <w:b w:val="false"/>
          <w:bCs w:val="false"/>
          <w:i w:val="false"/>
          <w:iCs w:val="false"/>
          <w:sz w:val="24"/>
          <w:szCs w:val="24"/>
        </w:rPr>
        <w:t xml:space="preserve">Several limitations qualify the scope of the conclusions reported above and should be considered when generalising the findings beyond the conditions under which this study was conducted.</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Dataset scale and provenance. The 279-story dataset, while balanced across sixteen functional categories and three complexity levels, is a single synthetically constructed corpus rather than a sample of user stories drawn from an operating production backlog. Although its scale is consistent with established parameter-efficient fine-tuning practice for LoRA-style adapters, a larger and organisationally diverse dataset would strengthen claims of generalisability to arbitrary real-world Jira tickets.</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Framework coverage. Evaluation is restricted to Cypress and Playwright, the two most widely adopted browser-based end-to-end testing frameworks at the time of this study. The findings do not directly extend to other test automation paradigms such as Selenium WebDriver, native mobile frameworks such as Appium, or API-level contract testing, each of which carries a different syntactic and semantic profile.</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Model scale. Both fine-tuned base models — Phi-3 Mini and Gemma 4 E4B — were selected in part for their feasibility on Apple Silicon hardware operating under a 48 GB unified-memory budget. Larger open-weight or proprietary models may exhibit different fine-tuning dynamics and zero-shot baseline quality; the results reported here should be read as evidence for models in this parameter range, not as an upper bound on what fine-tuning can achieve at larger scale.</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Single fine-tuning run per configuration. Each of the four adapters was trained once to convergence rather than across multiple random seeds. Training-run-to-training-run variance was therefore not quantified, and the reported accept rates and ROUGE-L scores reflect one instantiation of each adapter rather than a distribution over repeated training runs.</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Token-budget-bound rejections. A minority of Phi-3 Mini rejections, most visible on Playwright, were attributable to the generation token ceiling being insufficient for unusually long reference scripts even after the correction loop's automatic escalation. This is a configuration limit of the present loop rather than evidence of a structural incapacity in the model, but it does mean the reported accept rates slightly understate what a more generous or adaptively sized token budget could achieve.</w:t>
      </w:r>
    </w:p>
    <w:p>
      <w:pPr>
        <w:pStyle w:val="ListParagraph"/>
        <w:numPr>
          <w:ilvl w:val="0"/>
          <w:numId w:val="2"/>
        </w:numPr>
        <w:spacing w:after="120" w:line="276"/>
        <w:jc w:val="both"/>
      </w:pPr>
      <w:r>
        <w:rPr>
          <w:rFonts w:ascii="Times New Roman" w:cs="Times New Roman" w:eastAsia="Times New Roman" w:hAnsi="Times New Roman"/>
          <w:sz w:val="24"/>
          <w:szCs w:val="24"/>
        </w:rPr>
        <w:t xml:space="preserve">Metric-based rather than execution-based validation. Quality was assessed through static syntax checking and lexical similarity to a reference script; no generated script was executed against a live application under test. A script can therefore be judged syntactically valid and lexically close to the reference while still failing at runtime — for example, if a selector it references does not exist in the target application's actual DOM. This is discussed further as a priority direction for future work below.</w:t>
      </w:r>
    </w:p>
    <w:p>
      <w:pPr>
        <w:pStyle w:val="Heading1"/>
        <w:spacing w:after="200" w:before="360"/>
      </w:pPr>
      <w:r>
        <w:rPr>
          <w:rFonts w:ascii="Times New Roman" w:cs="Times New Roman" w:eastAsia="Times New Roman" w:hAnsi="Times New Roman"/>
          <w:b/>
          <w:bCs/>
          <w:sz w:val="28"/>
          <w:szCs w:val="28"/>
        </w:rPr>
        <w:t xml:space="preserve">8.3 Future Work</w:t>
      </w:r>
    </w:p>
    <w:p>
      <w:pPr>
        <w:spacing w:after="160" w:line="276"/>
        <w:jc w:val="both"/>
      </w:pPr>
      <w:r>
        <w:rPr>
          <w:rFonts w:ascii="Times New Roman" w:cs="Times New Roman" w:eastAsia="Times New Roman" w:hAnsi="Times New Roman"/>
          <w:b w:val="false"/>
          <w:bCs w:val="false"/>
          <w:i w:val="false"/>
          <w:iCs w:val="false"/>
          <w:sz w:val="24"/>
          <w:szCs w:val="24"/>
        </w:rPr>
        <w:t xml:space="preserve">The limitations identified above translate directly into concrete directions for extending this research.</w:t>
      </w:r>
    </w:p>
    <w:p>
      <w:pPr>
        <w:pStyle w:val="Heading2"/>
        <w:spacing w:after="140" w:before="260"/>
      </w:pPr>
      <w:r>
        <w:rPr>
          <w:rFonts w:ascii="Times New Roman" w:cs="Times New Roman" w:eastAsia="Times New Roman" w:hAnsi="Times New Roman"/>
          <w:b/>
          <w:bCs/>
          <w:sz w:val="24"/>
          <w:szCs w:val="24"/>
        </w:rPr>
        <w:t xml:space="preserve">8.3.1 Execution-Based Validation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most consequential extension is to move beyond static and lexical evaluation toward execution-based validation: running each generated script against a live or containerised instance of the target application and recording pass, fail, or runtime-error outcomes. This would close the remaining gap between “the script looks correct” and “the script actually verifies the intended behaviour,” and would allow the BMAD loop's Measure stage to incorporate a genuine functional-correctness signal alongside the current static heuristics. A natural implementation path is a sandboxed headless-browser execution stage inserted between the current syntax check and the composite-score computation, feeding pass/fail outcomes back as an additional term in the acceptance threshold.</w:t>
      </w:r>
    </w:p>
    <w:p>
      <w:pPr>
        <w:pStyle w:val="Heading2"/>
        <w:spacing w:after="140" w:before="260"/>
      </w:pPr>
      <w:r>
        <w:rPr>
          <w:rFonts w:ascii="Times New Roman" w:cs="Times New Roman" w:eastAsia="Times New Roman" w:hAnsi="Times New Roman"/>
          <w:b/>
          <w:bCs/>
          <w:sz w:val="24"/>
          <w:szCs w:val="24"/>
        </w:rPr>
        <w:t xml:space="preserve">8.3.2 Human Evaluation</w:t>
      </w:r>
    </w:p>
    <w:p>
      <w:pPr>
        <w:spacing w:after="160" w:line="276"/>
        <w:jc w:val="both"/>
      </w:pPr>
      <w:r>
        <w:rPr>
          <w:rFonts w:ascii="Times New Roman" w:cs="Times New Roman" w:eastAsia="Times New Roman" w:hAnsi="Times New Roman"/>
          <w:b w:val="false"/>
          <w:bCs w:val="false"/>
          <w:i w:val="false"/>
          <w:iCs w:val="false"/>
          <w:sz w:val="24"/>
          <w:szCs w:val="24"/>
        </w:rPr>
        <w:t xml:space="preserve">A structured human evaluation, in which practising QA engineers rate a sample of generated scripts for readability, maintainability, and fitness for direct use in a real codebase, would complement the automated metrics used in this dissertation. ROUGE-L and token-F1 capture surface similarity to a reference implementation but cannot assess whether an engineer would accept a generated script into a pull request with minimal edits — a criterion that ultimately determines the practical value of the system studied here.</w:t>
      </w:r>
    </w:p>
    <w:p>
      <w:pPr>
        <w:pStyle w:val="Heading2"/>
        <w:spacing w:after="140" w:before="260"/>
      </w:pPr>
      <w:r>
        <w:rPr>
          <w:rFonts w:ascii="Times New Roman" w:cs="Times New Roman" w:eastAsia="Times New Roman" w:hAnsi="Times New Roman"/>
          <w:b/>
          <w:bCs/>
          <w:sz w:val="24"/>
          <w:szCs w:val="24"/>
        </w:rPr>
        <w:t xml:space="preserve">8.3.3 Broader Framework and Domain Coverage</w:t>
      </w:r>
    </w:p>
    <w:p>
      <w:pPr>
        <w:spacing w:after="160" w:line="276"/>
        <w:jc w:val="both"/>
      </w:pPr>
      <w:r>
        <w:rPr>
          <w:rFonts w:ascii="Times New Roman" w:cs="Times New Roman" w:eastAsia="Times New Roman" w:hAnsi="Times New Roman"/>
          <w:b w:val="false"/>
          <w:bCs w:val="false"/>
          <w:i w:val="false"/>
          <w:iCs w:val="false"/>
          <w:sz w:val="24"/>
          <w:szCs w:val="24"/>
        </w:rPr>
        <w:t xml:space="preserve">Extending the framework-isolated fine-tuning methodology used here to Selenium WebDriver, Appium-based mobile test automation, and API-level contract testing frameworks such as Postman or REST Assured would test whether the observed fine-tuning advantage generalises beyond browser-based UI testing, and would allow a single organisation's full test-automation surface to be addressed by variants of the same agentic loop.</w:t>
      </w:r>
    </w:p>
    <w:p>
      <w:pPr>
        <w:pStyle w:val="Heading2"/>
        <w:spacing w:after="140" w:before="260"/>
      </w:pPr>
      <w:r>
        <w:rPr>
          <w:rFonts w:ascii="Times New Roman" w:cs="Times New Roman" w:eastAsia="Times New Roman" w:hAnsi="Times New Roman"/>
          <w:b/>
          <w:bCs/>
          <w:sz w:val="24"/>
          <w:szCs w:val="24"/>
        </w:rPr>
        <w:t xml:space="preserve">8.3.4 Larger-Scale and Multi-Seed Training</w:t>
      </w:r>
    </w:p>
    <w:p>
      <w:pPr>
        <w:spacing w:after="160" w:line="276"/>
        <w:jc w:val="both"/>
      </w:pPr>
      <w:r>
        <w:rPr>
          <w:rFonts w:ascii="Times New Roman" w:cs="Times New Roman" w:eastAsia="Times New Roman" w:hAnsi="Times New Roman"/>
          <w:b w:val="false"/>
          <w:bCs w:val="false"/>
          <w:i w:val="false"/>
          <w:iCs w:val="false"/>
          <w:sz w:val="24"/>
          <w:szCs w:val="24"/>
        </w:rPr>
        <w:t xml:space="preserve">Repeating the QLoRA fine-tuning procedure across multiple random seeds per adapter would quantify training-run variance and strengthen the statistical claims made in Chapter 7. Scaling the dataset beyond 279 stories per framework, and sourcing a portion of it from real, anonymised production backlogs rather than synthetic generation, would additionally test whether the fine-tuning gains reported here persist on more heterogeneous and less internally consistent user-story phrasing.</w:t>
      </w:r>
    </w:p>
    <w:p>
      <w:pPr>
        <w:pStyle w:val="Heading2"/>
        <w:spacing w:after="140" w:before="260"/>
      </w:pPr>
      <w:r>
        <w:rPr>
          <w:rFonts w:ascii="Times New Roman" w:cs="Times New Roman" w:eastAsia="Times New Roman" w:hAnsi="Times New Roman"/>
          <w:b/>
          <w:bCs/>
          <w:sz w:val="24"/>
          <w:szCs w:val="24"/>
        </w:rPr>
        <w:t xml:space="preserve">8.3.5 Adaptive Token Budgeting</w:t>
      </w:r>
    </w:p>
    <w:p>
      <w:pPr>
        <w:spacing w:after="160" w:line="276"/>
        <w:jc w:val="both"/>
      </w:pPr>
      <w:r>
        <w:rPr>
          <w:rFonts w:ascii="Times New Roman" w:cs="Times New Roman" w:eastAsia="Times New Roman" w:hAnsi="Times New Roman"/>
          <w:b w:val="false"/>
          <w:bCs w:val="false"/>
          <w:i w:val="false"/>
          <w:iCs w:val="false"/>
          <w:sz w:val="24"/>
          <w:szCs w:val="24"/>
        </w:rPr>
        <w:t xml:space="preserve">The token-budget-bound rejections identified in Section 8.2 could be addressed directly by predicting an appropriate generation length from the user story's category and complexity label before the first generation attempt, rather than escalating the token ceiling reactively only after a truncated first attempt — a refinement that would likely narrow the residual accept-rate gap between Phi-3 Mini and Gemma 4 E4B on Playwright.</w:t>
      </w:r>
    </w:p>
    <w:p>
      <w:pPr>
        <w:pStyle w:val="Heading2"/>
        <w:spacing w:after="140" w:before="260"/>
      </w:pPr>
      <w:r>
        <w:rPr>
          <w:rFonts w:ascii="Times New Roman" w:cs="Times New Roman" w:eastAsia="Times New Roman" w:hAnsi="Times New Roman"/>
          <w:b/>
          <w:bCs/>
          <w:sz w:val="24"/>
          <w:szCs w:val="24"/>
        </w:rPr>
        <w:t xml:space="preserve">8.3.6 Multi-Agent Specialisation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current architecture applies a single agentic loop uniformly across all categories of user story. A natural extension is to decompose the loop into specialised sub-agents — for instance, a dedicated agent for accessibility-focused assertions, or one specialised in responsive-design viewport handling, the category identified in Chapter 7 as the most metric-sensitive — coordinated by a routing mechanism that dispatches each incoming story to the most appropriate specialist before the shared Build–Measure–Assess–Decide cycle proceeds.</w:t>
      </w:r>
    </w:p>
    <w:p>
      <w:pPr>
        <w:pStyle w:val="Heading1"/>
        <w:spacing w:after="200" w:before="360"/>
      </w:pPr>
      <w:r>
        <w:rPr>
          <w:rFonts w:ascii="Times New Roman" w:cs="Times New Roman" w:eastAsia="Times New Roman" w:hAnsi="Times New Roman"/>
          <w:b/>
          <w:bCs/>
          <w:sz w:val="28"/>
          <w:szCs w:val="28"/>
        </w:rPr>
        <w:t xml:space="preserve">8.4 Concluding Remarks</w:t>
      </w:r>
    </w:p>
    <w:p>
      <w:pPr>
        <w:spacing w:after="160" w:line="276"/>
        <w:jc w:val="both"/>
      </w:pPr>
      <w:r>
        <w:rPr>
          <w:rFonts w:ascii="Times New Roman" w:cs="Times New Roman" w:eastAsia="Times New Roman" w:hAnsi="Times New Roman"/>
          <w:b w:val="false"/>
          <w:bCs w:val="false"/>
          <w:i w:val="false"/>
          <w:iCs w:val="false"/>
          <w:sz w:val="24"/>
          <w:szCs w:val="24"/>
        </w:rPr>
        <w:t xml:space="preserve">Taken as a whole, this dissertation provides statistically robust evidence that parameter-efficient fine-tuning, combined with an agentic self-correction loop, can substantially improve an open-weight language model's ability to translate natural-language user stories into usable end-to-end test scripts, without sacrificing syntactic reliability relative to considerably larger zero-shot commercial systems. The scale of the improvement, its consistency across every category and framework tested, and the rigour with which measurement artefacts were identified and corrected during the evaluation process together support the conclusion that this is a genuine and practically meaningful effect rather than an outcome of favourable aggregation. The limitations and future directions identified in this chapter define a clear path by which the present findings could be extended toward a system suitable for evaluation in an operating software delivery pipeline.</w:t>
      </w:r>
    </w:p>
    <w:sectPr>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2026-07-17T19:23:10.734Z</dcterms:created>
  <dcterms:modified xsi:type="dcterms:W3CDTF">2026-07-17T19:23:10.735Z</dcterms:modified>
</cp:coreProperties>
</file>

<file path=docProps/custom.xml><?xml version="1.0" encoding="utf-8"?>
<Properties xmlns="http://schemas.openxmlformats.org/officeDocument/2006/custom-properties" xmlns:vt="http://schemas.openxmlformats.org/officeDocument/2006/docPropsVTypes"/>
</file>