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sz w:val="26"/>
          <w:szCs w:val="26"/>
        </w:rPr>
        <w:t xml:space="preserve">AGENTIC ARTIFICIAL INTELLIGENCE (AI) SYSTEM FOR AUTONOMOUS TEST SCRIPT</w:t>
      </w:r>
    </w:p>
    <w:p>
      <w:pPr>
        <w:spacing w:after="400" w:before="0"/>
        <w:jc w:val="center"/>
      </w:pPr>
      <w:r>
        <w:rPr>
          <w:rFonts w:ascii="Times New Roman" w:cs="Times New Roman" w:eastAsia="Times New Roman" w:hAnsi="Times New Roman"/>
          <w:b/>
          <w:bCs/>
          <w:sz w:val="26"/>
          <w:szCs w:val="26"/>
        </w:rPr>
        <w:t xml:space="preserve">GENERATION AND OPTIMIZATION</w:t>
      </w:r>
    </w:p>
    <w:p>
      <w:pPr>
        <w:spacing w:after="400" w:before="0"/>
        <w:jc w:val="center"/>
      </w:pPr>
      <w:r>
        <w:rPr>
          <w:rFonts w:ascii="Times New Roman" w:cs="Times New Roman" w:eastAsia="Times New Roman" w:hAnsi="Times New Roman"/>
          <w:b w:val="false"/>
          <w:bCs w:val="false"/>
          <w:sz w:val="24"/>
          <w:szCs w:val="24"/>
        </w:rPr>
        <w:t xml:space="preserve">AIMLCZG628T: Dissertation</w:t>
      </w:r>
    </w:p>
    <w:p>
      <w:pPr>
        <w:spacing w:after="300" w:before="0"/>
        <w:jc w:val="center"/>
      </w:pPr>
      <w:r>
        <w:rPr>
          <w:rFonts w:ascii="Times New Roman" w:cs="Times New Roman" w:eastAsia="Times New Roman" w:hAnsi="Times New Roman"/>
          <w:b w:val="false"/>
          <w:bCs w:val="false"/>
          <w:sz w:val="24"/>
          <w:szCs w:val="24"/>
        </w:rPr>
        <w:t xml:space="preserve">by</w:t>
      </w:r>
    </w:p>
    <w:p>
      <w:pPr>
        <w:spacing w:after="60" w:before="0"/>
        <w:jc w:val="center"/>
      </w:pPr>
      <w:r>
        <w:rPr>
          <w:rFonts w:ascii="Times New Roman" w:cs="Times New Roman" w:eastAsia="Times New Roman" w:hAnsi="Times New Roman"/>
          <w:b/>
          <w:bCs/>
          <w:sz w:val="24"/>
          <w:szCs w:val="24"/>
        </w:rPr>
        <w:t xml:space="preserve">SAIF AFZAL</w:t>
      </w:r>
    </w:p>
    <w:p>
      <w:pPr>
        <w:spacing w:after="400" w:before="0"/>
        <w:jc w:val="center"/>
      </w:pPr>
      <w:r>
        <w:rPr>
          <w:rFonts w:ascii="Times New Roman" w:cs="Times New Roman" w:eastAsia="Times New Roman" w:hAnsi="Times New Roman"/>
          <w:b w:val="false"/>
          <w:bCs w:val="false"/>
          <w:sz w:val="24"/>
          <w:szCs w:val="24"/>
        </w:rPr>
        <w:t xml:space="preserve">2024AA05546</w:t>
      </w:r>
    </w:p>
    <w:p>
      <w:pPr>
        <w:spacing w:after="200" w:before="0"/>
        <w:jc w:val="center"/>
      </w:pPr>
      <w:r>
        <w:rPr>
          <w:rFonts w:ascii="Times New Roman" w:cs="Times New Roman" w:eastAsia="Times New Roman" w:hAnsi="Times New Roman"/>
          <w:b w:val="false"/>
          <w:bCs w:val="false"/>
          <w:sz w:val="24"/>
          <w:szCs w:val="24"/>
        </w:rPr>
        <w:t xml:space="preserve">Dissertation work carried out at</w:t>
      </w:r>
    </w:p>
    <w:p>
      <w:pPr>
        <w:spacing w:after="400" w:before="0"/>
        <w:jc w:val="center"/>
      </w:pPr>
      <w:r>
        <w:rPr>
          <w:rFonts w:ascii="Times New Roman" w:cs="Times New Roman" w:eastAsia="Times New Roman" w:hAnsi="Times New Roman"/>
          <w:b/>
          <w:bCs/>
          <w:sz w:val="24"/>
          <w:szCs w:val="24"/>
        </w:rPr>
        <w:t xml:space="preserve">3PILLAR GLOBAL, NOIDA, INDIA</w:t>
      </w:r>
    </w:p>
    <w:p>
      <w:pPr>
        <w:spacing w:after="60" w:before="0"/>
        <w:jc w:val="center"/>
      </w:pPr>
      <w:r>
        <w:rPr>
          <w:rFonts w:ascii="Times New Roman" w:cs="Times New Roman" w:eastAsia="Times New Roman" w:hAnsi="Times New Roman"/>
          <w:b w:val="false"/>
          <w:bCs w:val="false"/>
          <w:sz w:val="24"/>
          <w:szCs w:val="24"/>
        </w:rPr>
        <w:t xml:space="preserve">Submitted in partial fulfilment of M.Tech (Artificial Intelligence &amp; Machine Learning)</w:t>
      </w:r>
    </w:p>
    <w:p>
      <w:pPr>
        <w:spacing w:after="400" w:before="0"/>
        <w:jc w:val="center"/>
      </w:pPr>
      <w:r>
        <w:rPr>
          <w:rFonts w:ascii="Times New Roman" w:cs="Times New Roman" w:eastAsia="Times New Roman" w:hAnsi="Times New Roman"/>
          <w:b w:val="false"/>
          <w:bCs w:val="false"/>
          <w:sz w:val="24"/>
          <w:szCs w:val="24"/>
        </w:rPr>
        <w:t xml:space="preserve">degree programme</w:t>
      </w:r>
    </w:p>
    <w:p>
      <w:pPr>
        <w:spacing w:after="200" w:before="0"/>
        <w:jc w:val="center"/>
      </w:pPr>
      <w:r>
        <w:rPr>
          <w:rFonts w:ascii="Times New Roman" w:cs="Times New Roman" w:eastAsia="Times New Roman" w:hAnsi="Times New Roman"/>
          <w:b w:val="false"/>
          <w:bCs w:val="false"/>
          <w:sz w:val="24"/>
          <w:szCs w:val="24"/>
        </w:rPr>
        <w:t xml:space="preserve">Under the Supervision of</w:t>
      </w:r>
    </w:p>
    <w:p>
      <w:pPr>
        <w:spacing w:after="60" w:before="0"/>
        <w:jc w:val="center"/>
      </w:pPr>
      <w:r>
        <w:rPr>
          <w:rFonts w:ascii="Times New Roman" w:cs="Times New Roman" w:eastAsia="Times New Roman" w:hAnsi="Times New Roman"/>
          <w:b/>
          <w:bCs/>
          <w:sz w:val="24"/>
          <w:szCs w:val="24"/>
        </w:rPr>
        <w:t xml:space="preserve">BILAL HASAN KHAN</w:t>
      </w:r>
    </w:p>
    <w:p>
      <w:pPr>
        <w:spacing w:after="60" w:before="0"/>
        <w:jc w:val="center"/>
      </w:pPr>
      <w:r>
        <w:rPr>
          <w:rFonts w:ascii="Times New Roman" w:cs="Times New Roman" w:eastAsia="Times New Roman" w:hAnsi="Times New Roman"/>
          <w:b w:val="false"/>
          <w:bCs w:val="false"/>
          <w:sz w:val="24"/>
          <w:szCs w:val="24"/>
        </w:rPr>
        <w:t xml:space="preserve">Associate Director</w:t>
      </w:r>
    </w:p>
    <w:p>
      <w:pPr>
        <w:spacing w:after="500" w:before="0"/>
        <w:jc w:val="center"/>
      </w:pPr>
      <w:r>
        <w:rPr>
          <w:rFonts w:ascii="Times New Roman" w:cs="Times New Roman" w:eastAsia="Times New Roman" w:hAnsi="Times New Roman"/>
          <w:b w:val="false"/>
          <w:bCs w:val="false"/>
          <w:sz w:val="24"/>
          <w:szCs w:val="24"/>
        </w:rPr>
        <w:t xml:space="preserve">3Pillar Global, Noida</w:t>
      </w:r>
    </w:p>
    <w:p>
      <w:pPr>
        <w:spacing w:after="500" w:before="0"/>
        <w:jc w:val="center"/>
      </w:pPr>
      <w:r>
        <w:rPr>
          <w:rFonts w:ascii="Times New Roman" w:cs="Times New Roman" w:eastAsia="Times New Roman" w:hAnsi="Times New Roman"/>
          <w:b w:val="false"/>
          <w:bCs w:val="false"/>
          <w:sz w:val="18"/>
          <w:szCs w:val="18"/>
        </w:rPr>
        <w:t xml:space="preserve">[BITS Pilani institutional crest — insert official logo image here]</w:t>
      </w:r>
    </w:p>
    <w:p>
      <w:pPr>
        <w:spacing w:after="60" w:before="0"/>
        <w:jc w:val="center"/>
      </w:pPr>
      <w:r>
        <w:rPr>
          <w:rFonts w:ascii="Times New Roman" w:cs="Times New Roman" w:eastAsia="Times New Roman" w:hAnsi="Times New Roman"/>
          <w:b/>
          <w:bCs/>
          <w:sz w:val="24"/>
          <w:szCs w:val="24"/>
        </w:rPr>
        <w:t xml:space="preserve">BIRLA INSTITUTE OF TECHNOLOGY &amp; SCIENCE</w:t>
      </w:r>
    </w:p>
    <w:p>
      <w:pPr>
        <w:spacing w:after="400" w:before="0"/>
        <w:jc w:val="center"/>
      </w:pPr>
      <w:r>
        <w:rPr>
          <w:rFonts w:ascii="Times New Roman" w:cs="Times New Roman" w:eastAsia="Times New Roman" w:hAnsi="Times New Roman"/>
          <w:b/>
          <w:bCs/>
          <w:sz w:val="24"/>
          <w:szCs w:val="24"/>
        </w:rPr>
        <w:t xml:space="preserve">PILANI (RAJASTHAN)</w:t>
      </w:r>
    </w:p>
    <w:p>
      <w:pPr>
        <w:spacing w:after="0" w:before="0"/>
        <w:jc w:val="center"/>
      </w:pPr>
      <w:r>
        <w:rPr>
          <w:rFonts w:ascii="Times New Roman" w:cs="Times New Roman" w:eastAsia="Times New Roman" w:hAnsi="Times New Roman"/>
          <w:b w:val="false"/>
          <w:bCs w:val="false"/>
          <w:sz w:val="24"/>
          <w:szCs w:val="24"/>
        </w:rPr>
        <w:t xml:space="preserve">August 2026</w:t>
      </w:r>
    </w:p>
    <w:p>
      <w:r>
        <w:br w:type="page"/>
      </w:r>
    </w:p>
    <w:p>
      <w:pPr>
        <w:pStyle w:val="Heading1"/>
        <w:spacing w:after="200" w:before="0"/>
        <w:jc w:val="center"/>
      </w:pPr>
      <w:r>
        <w:rPr>
          <w:rFonts w:ascii="Times New Roman" w:cs="Times New Roman" w:eastAsia="Times New Roman" w:hAnsi="Times New Roman"/>
          <w:b/>
          <w:bCs/>
          <w:sz w:val="28"/>
          <w:szCs w:val="28"/>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Software quality assurance teams routinely face a bottleneck that automation has not yet resolved: authoring and maintaining the end-to-end test scripts that verify application behaviour remains a manual, time-consuming task requiring both programming skill and detailed familiarity with a specific test-automation framework. This dissertation investigates whether a domain-specific, parameter-efficiently fine-tuned open-weight language model, embedded inside an autonomous agentic correction loop, can close this gap by translating natural-language user stories directly into syntactically valid and semantically faithful test scripts, at a quality level competitive with or exceeding much larger zero-shot commercial systems.</w:t>
      </w:r>
    </w:p>
    <w:p>
      <w:pPr>
        <w:spacing w:after="160" w:line="276"/>
        <w:jc w:val="both"/>
      </w:pPr>
      <w:r>
        <w:rPr>
          <w:rFonts w:ascii="Times New Roman" w:cs="Times New Roman" w:eastAsia="Times New Roman" w:hAnsi="Times New Roman"/>
          <w:b w:val="false"/>
          <w:bCs w:val="false"/>
          <w:i w:val="false"/>
          <w:iCs w:val="false"/>
          <w:sz w:val="24"/>
          <w:szCs w:val="24"/>
        </w:rPr>
        <w:t xml:space="preserve">A curated dataset of 279 Jira-style user stories, each paired with an independently authored Cypress and Playwright reference script, was constructed and validated across sixteen functional categories and three complexity tiers. Two commercial large language models, GPT-4o-mini and Claude Haiku, were evaluated as zero-shot baselines. Two open-weight models, Phi-3 Mini and Gemma 4 E4B, were adapted through QLoRA parameter-efficient fine-tuning on Apple Silicon hardware into four framework-isolated adapters, and embedded in a Build–Measure–Assess–Decide (BMAD) agentic correction loop that autonomously generates, statically inspects, scores, and iteratively revises each candidate script against a composite quality threshold.</w:t>
      </w:r>
    </w:p>
    <w:p>
      <w:pPr>
        <w:spacing w:after="160" w:line="276"/>
        <w:jc w:val="both"/>
      </w:pPr>
      <w:r>
        <w:rPr>
          <w:rFonts w:ascii="Times New Roman" w:cs="Times New Roman" w:eastAsia="Times New Roman" w:hAnsi="Times New Roman"/>
          <w:b w:val="false"/>
          <w:bCs w:val="false"/>
          <w:i w:val="false"/>
          <w:iCs w:val="false"/>
          <w:sz w:val="24"/>
          <w:szCs w:val="24"/>
        </w:rPr>
        <w:t xml:space="preserve">All eight resulting systems — two baselines and two fine-tuned models, each evaluated on both frameworks — were compared on the complete 279-story held-out dataset using paired statistical testing, since every system was scored against the identical set of stories. The results show that fine-tuning produces a large and remarkably consistent improvement in ground-truth semantic alignment: the ranking Gemma 4 E4B &gt; Phi-3 Mini &gt; commercial baselines holds without a single exception across both frameworks and across all sixteen user-story categories, confirmed by ten paired Wilcoxon signed-rank tests each significant at p &lt; 10⁻²² and an overall analysis of variance (F = 225.63, p = 1.01 × 10⁻²⁵³). This quality gain was found not to come at the cost of syntactic reliability: on the complete dataset, fine-tuned and baseline systems are statistically indistinguishable in syntax validity (χ² = 0.00, p = 1.00). The strongest configuration, Gemma 4 E4B on Cypress, reached a 100% BMAD acceptance rate across all 279 held-out stories.</w:t>
      </w:r>
    </w:p>
    <w:p>
      <w:pPr>
        <w:spacing w:after="160" w:line="276"/>
        <w:jc w:val="both"/>
      </w:pPr>
      <w:r>
        <w:rPr>
          <w:rFonts w:ascii="Times New Roman" w:cs="Times New Roman" w:eastAsia="Times New Roman" w:hAnsi="Times New Roman"/>
          <w:b w:val="false"/>
          <w:bCs w:val="false"/>
          <w:i w:val="false"/>
          <w:iCs w:val="false"/>
          <w:sz w:val="24"/>
          <w:szCs w:val="24"/>
        </w:rPr>
        <w:t xml:space="preserve">Beyond the headline result, this dissertation makes two methodological contributions of independent interest: the identification and correction of two measurement artefacts during evaluation (an unstripped Markdown code fence that had suppressed a baseline model's apparent syntax-validity score, and an incomplete-sample effect that had understated fine-tuned syntax reliability), and a category-level analysis showing that residual gaps between fine-tuned and baseline systems in certain categories are attributable to a known limitation of lexical-overlap metrics such as ROUGE-L rather than to a genuine capability gap. The dissertation concludes that agentic, fine-tuning-based test-script generation is a practically viable and statistically well-supported approach, and identifies execution-based validation, human evaluation, and broader framework coverage as the most consequential directions for future work.</w:t>
      </w:r>
    </w:p>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Signature of the Student</w:t>
            </w:r>
          </w:p>
        </w:tc>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Signature of the Supervisor</w:t>
            </w:r>
          </w:p>
        </w:tc>
      </w:tr>
      <w:tr>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 Saif Afzal</w:t>
            </w:r>
          </w:p>
        </w:tc>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 Bilal Hasan Khan</w:t>
            </w:r>
          </w:p>
        </w:tc>
      </w:tr>
      <w:tr>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Date:</w:t>
            </w:r>
          </w:p>
        </w:tc>
      </w:tr>
      <w:tr>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Place: Noida, Uttar Pradesh, India</w:t>
            </w:r>
          </w:p>
        </w:tc>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Place: Noida, Uttar Pradesh, India</w:t>
            </w:r>
          </w:p>
        </w:tc>
      </w:tr>
    </w:tbl>
    <w:p>
      <w:r>
        <w:br w:type="page"/>
      </w:r>
    </w:p>
    <w:p>
      <w:pPr>
        <w:pStyle w:val="Heading1"/>
        <w:spacing w:after="200" w:before="0"/>
        <w:jc w:val="center"/>
      </w:pPr>
      <w:r>
        <w:rPr>
          <w:rFonts w:ascii="Times New Roman" w:cs="Times New Roman" w:eastAsia="Times New Roman" w:hAnsi="Times New Roman"/>
          <w:b/>
          <w:bCs/>
          <w:sz w:val="28"/>
          <w:szCs w:val="28"/>
        </w:rPr>
        <w:t xml:space="preserve">ACKNOWLEDGEMENTS</w:t>
      </w:r>
    </w:p>
    <w:p>
      <w:pPr>
        <w:spacing w:after="160" w:line="276"/>
        <w:jc w:val="both"/>
      </w:pPr>
      <w:r>
        <w:rPr>
          <w:rFonts w:ascii="Times New Roman" w:cs="Times New Roman" w:eastAsia="Times New Roman" w:hAnsi="Times New Roman"/>
          <w:b w:val="false"/>
          <w:bCs w:val="false"/>
          <w:i w:val="false"/>
          <w:iCs w:val="false"/>
          <w:sz w:val="24"/>
          <w:szCs w:val="24"/>
        </w:rPr>
        <w:t xml:space="preserve">I am sincerely grateful to my supervisor, Mr. Bilal Hasan Khan, Associate Director at 3Pillar Global, Noida, for his consistent guidance, technical scrutiny, and constructive feedback throughout every phase of this dissertation, from the initial dataset design through to the final statistical evaluation. His willingness to engage closely with both the research questions and the practical engineering challenges encountered along the way materially shaped the quality of this work.</w:t>
      </w:r>
    </w:p>
    <w:p>
      <w:pPr>
        <w:spacing w:after="160" w:line="276"/>
        <w:jc w:val="both"/>
      </w:pPr>
      <w:r>
        <w:rPr>
          <w:rFonts w:ascii="Times New Roman" w:cs="Times New Roman" w:eastAsia="Times New Roman" w:hAnsi="Times New Roman"/>
          <w:b w:val="false"/>
          <w:bCs w:val="false"/>
          <w:i w:val="false"/>
          <w:iCs w:val="false"/>
          <w:sz w:val="24"/>
          <w:szCs w:val="24"/>
        </w:rPr>
        <w:t xml:space="preserve">I thank 3Pillar Global for providing an environment supportive of applied research alongside professional responsibilities, and I acknowledge the Birla Institute of Technology and Science, Pilani, and the Work Integrated Learning Programme for the structure, milestones, and academic rigour that this dissertation was held to at each stage of submission.</w:t>
      </w:r>
    </w:p>
    <w:p>
      <w:pPr>
        <w:spacing w:after="160" w:line="276"/>
        <w:jc w:val="both"/>
      </w:pPr>
      <w:r>
        <w:rPr>
          <w:rFonts w:ascii="Times New Roman" w:cs="Times New Roman" w:eastAsia="Times New Roman" w:hAnsi="Times New Roman"/>
          <w:b w:val="false"/>
          <w:bCs w:val="false"/>
          <w:i w:val="false"/>
          <w:iCs w:val="false"/>
          <w:sz w:val="24"/>
          <w:szCs w:val="24"/>
        </w:rPr>
        <w:t xml:space="preserve">Finally, I am grateful to my family for their patience and support across the many hours, including several extended unattended computation runs, that this research required.</w:t>
      </w:r>
    </w:p>
    <w:p>
      <w:r>
        <w:br w:type="page"/>
      </w:r>
    </w:p>
    <w:p>
      <w:pPr>
        <w:pStyle w:val="Heading1"/>
        <w:spacing w:after="200" w:before="0"/>
        <w:jc w:val="center"/>
      </w:pPr>
      <w:r>
        <w:rPr>
          <w:rFonts w:ascii="Times New Roman" w:cs="Times New Roman" w:eastAsia="Times New Roman" w:hAnsi="Times New Roman"/>
          <w:b/>
          <w:bCs/>
          <w:sz w:val="28"/>
          <w:szCs w:val="28"/>
        </w:rPr>
        <w:t xml:space="preserve">CONTENTS</w:t>
      </w:r>
    </w:p>
    <w:p>
      <w:pPr>
        <w:spacing w:after="200"/>
      </w:pPr>
      <w:r>
        <w:rPr>
          <w:rFonts w:ascii="Times New Roman" w:cs="Times New Roman" w:eastAsia="Times New Roman" w:hAnsi="Times New Roman"/>
          <w:i/>
          <w:iCs/>
          <w:sz w:val="20"/>
          <w:szCs w:val="20"/>
        </w:rPr>
        <w:t xml:space="preserve">(Right-click and choose "Update Field", or press F9, after opening in Word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0"/>
        <w:jc w:val="center"/>
      </w:pPr>
      <w:r>
        <w:rPr>
          <w:rFonts w:ascii="Times New Roman" w:cs="Times New Roman" w:eastAsia="Times New Roman" w:hAnsi="Times New Roman"/>
          <w:b/>
          <w:bCs/>
          <w:sz w:val="28"/>
          <w:szCs w:val="28"/>
        </w:rPr>
        <w:t xml:space="preserve">LIST OF FIGURES</w:t>
      </w:r>
    </w:p>
    <w:p>
      <w:pPr>
        <w:spacing w:after="120"/>
      </w:pPr>
      <w:r>
        <w:rPr>
          <w:rFonts w:ascii="Times New Roman" w:cs="Times New Roman" w:eastAsia="Times New Roman" w:hAnsi="Times New Roman"/>
          <w:sz w:val="24"/>
          <w:szCs w:val="24"/>
        </w:rPr>
        <w:t xml:space="preserve">Figure 3.1: End-to-end system architecture</w:t>
      </w:r>
    </w:p>
    <w:p>
      <w:r>
        <w:br w:type="page"/>
      </w:r>
    </w:p>
    <w:p>
      <w:pPr>
        <w:pStyle w:val="Heading1"/>
        <w:spacing w:after="200" w:before="0"/>
        <w:jc w:val="center"/>
      </w:pPr>
      <w:r>
        <w:rPr>
          <w:rFonts w:ascii="Times New Roman" w:cs="Times New Roman" w:eastAsia="Times New Roman" w:hAnsi="Times New Roman"/>
          <w:b/>
          <w:bCs/>
          <w:sz w:val="28"/>
          <w:szCs w:val="28"/>
        </w:rPr>
        <w:t xml:space="preserve">LIST OF TABLES</w:t>
      </w:r>
    </w:p>
    <w:p>
      <w:pPr>
        <w:spacing w:after="120"/>
      </w:pPr>
      <w:r>
        <w:rPr>
          <w:rFonts w:ascii="Times New Roman" w:cs="Times New Roman" w:eastAsia="Times New Roman" w:hAnsi="Times New Roman"/>
          <w:sz w:val="24"/>
          <w:szCs w:val="24"/>
        </w:rPr>
        <w:t xml:space="preserve">Table 2.1: Literature gaps and how this dissertation addresses them</w:t>
      </w:r>
    </w:p>
    <w:p>
      <w:pPr>
        <w:spacing w:after="120"/>
      </w:pPr>
      <w:r>
        <w:rPr>
          <w:rFonts w:ascii="Times New Roman" w:cs="Times New Roman" w:eastAsia="Times New Roman" w:hAnsi="Times New Roman"/>
          <w:sz w:val="24"/>
          <w:szCs w:val="24"/>
        </w:rPr>
        <w:t xml:space="preserve">Table 5.1: Zero-shot baseline performance (n = 279 per framework)</w:t>
      </w:r>
    </w:p>
    <w:p>
      <w:pPr>
        <w:spacing w:after="120"/>
      </w:pPr>
      <w:r>
        <w:rPr>
          <w:rFonts w:ascii="Times New Roman" w:cs="Times New Roman" w:eastAsia="Times New Roman" w:hAnsi="Times New Roman"/>
          <w:sz w:val="24"/>
          <w:szCs w:val="24"/>
        </w:rPr>
        <w:t xml:space="preserve">Table 5.2: BMAD agentic loop outcomes, complete dataset</w:t>
      </w:r>
    </w:p>
    <w:p>
      <w:pPr>
        <w:spacing w:after="120"/>
      </w:pPr>
      <w:r>
        <w:rPr>
          <w:rFonts w:ascii="Times New Roman" w:cs="Times New Roman" w:eastAsia="Times New Roman" w:hAnsi="Times New Roman"/>
          <w:sz w:val="24"/>
          <w:szCs w:val="24"/>
        </w:rPr>
        <w:t xml:space="preserve">Table 5.3: Mean ROUGE-L F1 across all eight systems (n = 279 each)</w:t>
      </w:r>
    </w:p>
    <w:p>
      <w:pPr>
        <w:spacing w:after="120"/>
      </w:pPr>
      <w:r>
        <w:rPr>
          <w:rFonts w:ascii="Times New Roman" w:cs="Times New Roman" w:eastAsia="Times New Roman" w:hAnsi="Times New Roman"/>
          <w:sz w:val="24"/>
          <w:szCs w:val="24"/>
        </w:rPr>
        <w:t xml:space="preserve">Table 5.4: One-way ANOVA results</w:t>
      </w:r>
    </w:p>
    <w:p>
      <w:pPr>
        <w:spacing w:after="120"/>
      </w:pPr>
      <w:r>
        <w:rPr>
          <w:rFonts w:ascii="Times New Roman" w:cs="Times New Roman" w:eastAsia="Times New Roman" w:hAnsi="Times New Roman"/>
          <w:sz w:val="24"/>
          <w:szCs w:val="24"/>
        </w:rPr>
        <w:t xml:space="preserve">Table 5.5: Paired Wilcoxon signed-rank tests (n = 279 per test)</w:t>
      </w:r>
    </w:p>
    <w:p>
      <w:pPr>
        <w:spacing w:after="120"/>
      </w:pPr>
      <w:r>
        <w:rPr>
          <w:rFonts w:ascii="Times New Roman" w:cs="Times New Roman" w:eastAsia="Times New Roman" w:hAnsi="Times New Roman"/>
          <w:sz w:val="24"/>
          <w:szCs w:val="24"/>
        </w:rPr>
        <w:t xml:space="preserve">Table 5.6: Syntax validity by system (n = 279 each)</w:t>
      </w:r>
    </w:p>
    <w:p>
      <w:pPr>
        <w:spacing w:after="120"/>
      </w:pPr>
      <w:r>
        <w:rPr>
          <w:rFonts w:ascii="Times New Roman" w:cs="Times New Roman" w:eastAsia="Times New Roman" w:hAnsi="Times New Roman"/>
          <w:sz w:val="24"/>
          <w:szCs w:val="24"/>
        </w:rPr>
        <w:t xml:space="preserve">Table 5.7: Mean ROUGE-L F1 for the two weakest Cypress categories</w:t>
      </w:r>
    </w:p>
    <w:p>
      <w:r>
        <w:br w:type="page"/>
      </w:r>
    </w:p>
    <w:p>
      <w:pPr>
        <w:pStyle w:val="Heading1"/>
        <w:spacing w:after="200" w:before="0"/>
      </w:pPr>
      <w:r>
        <w:rPr>
          <w:rFonts w:ascii="Times New Roman" w:cs="Times New Roman" w:eastAsia="Times New Roman" w:hAnsi="Times New Roman"/>
          <w:b/>
          <w:bCs/>
          <w:sz w:val="28"/>
          <w:szCs w:val="28"/>
        </w:rPr>
        <w:t xml:space="preserve">1. INTRODUCTION AND BROAD AREA OF WORK</w:t>
      </w:r>
    </w:p>
    <w:p>
      <w:pPr>
        <w:spacing w:after="160" w:line="276"/>
        <w:jc w:val="both"/>
      </w:pPr>
      <w:r>
        <w:rPr>
          <w:rFonts w:ascii="Times New Roman" w:cs="Times New Roman" w:eastAsia="Times New Roman" w:hAnsi="Times New Roman"/>
          <w:b w:val="false"/>
          <w:bCs w:val="false"/>
          <w:i w:val="false"/>
          <w:iCs w:val="false"/>
          <w:sz w:val="24"/>
          <w:szCs w:val="24"/>
        </w:rPr>
        <w:t xml:space="preserve">Software quality assurance has automated a great deal of what was once manual regression testing, yet one activity has resisted that automation: the authoring of the end-to-end test scripts themselves. Turning an informal product requirement into a syntactically precise, assertion-rich automation script — one that exercises both the happy-path journey a user is expected to take through a feature and the edge cases most likely to expose a defect [11] — remains a task performed by a human engineer, and one that is repetitive, time-consuming, and sensitive to that engineer's familiarity with the specific application domain and test framework in use. It is this gap between a plainly stated requirement and a working test script that motivates the present research.</w:t>
      </w:r>
    </w:p>
    <w:p>
      <w:pPr>
        <w:spacing w:after="160" w:line="276"/>
        <w:jc w:val="both"/>
      </w:pPr>
      <w:r>
        <w:rPr>
          <w:rFonts w:ascii="Times New Roman" w:cs="Times New Roman" w:eastAsia="Times New Roman" w:hAnsi="Times New Roman"/>
          <w:b w:val="false"/>
          <w:bCs w:val="false"/>
          <w:i w:val="false"/>
          <w:iCs w:val="false"/>
          <w:sz w:val="24"/>
          <w:szCs w:val="24"/>
        </w:rPr>
        <w:t xml:space="preserve">Large language models trained on code have shown that a pre-trained transformer can produce output that is structurally plausible — code that reads as syntactically correct even where it is not necessarily logically correct — from a natural-language description alone [12]. A general-purpose model prompted with no task-specific grounding, however, has no exposure to the particular selector conventions, assertion idioms, and API surface mandated by a specific test framework such as Cypress [13] or Playwright [14]; zero-shot or few-shot prompting [12] of such a model typically yields scripts that are structurally incomplete, rely on deprecated APIs, or omit the assertions needed for the test to carry any real verification value. Closing this gap requires more than a better prompt: it requires the model to be grounded in the target framework's conventions and given a mechanism to check and correct its own output.</w:t>
      </w:r>
    </w:p>
    <w:p>
      <w:pPr>
        <w:spacing w:after="160" w:line="276"/>
        <w:jc w:val="both"/>
      </w:pPr>
      <w:r>
        <w:rPr>
          <w:rFonts w:ascii="Times New Roman" w:cs="Times New Roman" w:eastAsia="Times New Roman" w:hAnsi="Times New Roman"/>
          <w:b w:val="false"/>
          <w:bCs w:val="false"/>
          <w:i w:val="false"/>
          <w:iCs w:val="false"/>
          <w:sz w:val="24"/>
          <w:szCs w:val="24"/>
        </w:rPr>
        <w:t xml:space="preserve">This dissertation makes three complementary contributions toward that goal. A domain-specific dataset of 279 aligned user-story-and-test-script pairs was constructed through a structured, quality-validated generation pipeline, split evenly and independently between the Cypress and Playwright frameworks. Two open-weight language models, Phi-3 Mini and Gemma 4 E4B, were then adapted to this dataset under the QLoRA (Quantised Low-Rank Adaptation) parameter-efficient fine-tuning paradigm, producing one specialised adapter per model per framework so that no adapter is ever exposed to the syntax of the framework it was not trained for. Finally, an agentic Build–Measure–Assess–Decide (BMAD) correction loop was designed and implemented to autonomously generate, statically inspect, score, and — where necessary — iteratively revise each script until it meets a defined quality threshold or a maximum number of correction attempts is reached, removing the need for a human reviewer in the refinement cycle itself.</w:t>
      </w:r>
    </w:p>
    <w:p>
      <w:pPr>
        <w:spacing w:after="160" w:line="276"/>
        <w:jc w:val="both"/>
      </w:pPr>
      <w:r>
        <w:rPr>
          <w:rFonts w:ascii="Times New Roman" w:cs="Times New Roman" w:eastAsia="Times New Roman" w:hAnsi="Times New Roman"/>
          <w:b w:val="false"/>
          <w:bCs w:val="false"/>
          <w:i w:val="false"/>
          <w:iCs w:val="false"/>
          <w:sz w:val="24"/>
          <w:szCs w:val="24"/>
        </w:rPr>
        <w:t xml:space="preserve">The research sits at the intersection of AI-assisted software engineering and test automation, with direct practical relevance to organisations that maintain continuous integration pipelines under Agile delivery practices, where the marginal cost of authoring and maintaining end-to-end test coverage is a recurring constraint on release velocity. All eight phases of the work — dataset construction, baseline evaluation, fine-tuning, agentic-loop implementation, and comparative statistical evaluation — have been completed at the time of this report. Chapter 2 surveys the literature that motivates the specific design choices made; Chapter 3 describes the system design and architecture; Chapter 4 details the implementation; Chapter 5 reports the complete comparative evaluation across all systems studied; and Chapter 6 concludes with a synthesis of findings, limitations, and directions for future work.</w:t>
      </w:r>
    </w:p>
    <w:p>
      <w:pPr>
        <w:pStyle w:val="Heading1"/>
        <w:spacing w:after="200" w:before="360"/>
      </w:pPr>
      <w:r>
        <w:rPr>
          <w:rFonts w:ascii="Times New Roman" w:cs="Times New Roman" w:eastAsia="Times New Roman" w:hAnsi="Times New Roman"/>
          <w:b/>
          <w:bCs/>
          <w:sz w:val="28"/>
          <w:szCs w:val="28"/>
        </w:rPr>
        <w:t xml:space="preserve">2. LITERATURE REVIEW</w:t>
      </w:r>
    </w:p>
    <w:p>
      <w:pPr>
        <w:spacing w:after="160" w:line="276"/>
        <w:jc w:val="both"/>
      </w:pPr>
      <w:r>
        <w:rPr>
          <w:rFonts w:ascii="Times New Roman" w:cs="Times New Roman" w:eastAsia="Times New Roman" w:hAnsi="Times New Roman"/>
          <w:b w:val="false"/>
          <w:bCs w:val="false"/>
          <w:i w:val="false"/>
          <w:iCs w:val="false"/>
          <w:sz w:val="24"/>
          <w:szCs w:val="24"/>
        </w:rPr>
        <w:t xml:space="preserve">This chapter surveys three bodies of literature that together frame the design of the system described in this dissertation: LLM-driven code and test generation, parameter-efficient fine-tuning, and agentic self-correcting AI architectures. Each is examined for what it establishes and, more importantly, for what it leaves unaddressed with respect to the specific problem this dissertation tackles.</w:t>
      </w:r>
    </w:p>
    <w:p>
      <w:pPr>
        <w:spacing w:after="160" w:line="276"/>
        <w:jc w:val="both"/>
      </w:pPr>
      <w:r>
        <w:rPr>
          <w:rFonts w:ascii="Times New Roman" w:cs="Times New Roman" w:eastAsia="Times New Roman" w:hAnsi="Times New Roman"/>
          <w:b w:val="false"/>
          <w:bCs w:val="false"/>
          <w:i w:val="false"/>
          <w:iCs w:val="false"/>
          <w:sz w:val="24"/>
          <w:szCs w:val="24"/>
        </w:rPr>
        <w:t xml:space="preserve">The use of large language models for automated code generation has progressed from general-purpose function synthesis toward increasingly specialised, test-oriented applications. Chen et al. [1] established the field's reference evaluation methodology with Codex and the HumanEval benchmark, demonstrating that a decoder-only transformer trained on large code corpora attains substantial competence at function-level synthesis and popularising pass-at-k as the standard accuracy metric for generated code. Austin et al. [2] broadened this evaluation basis with MBPP, a benchmark of crowd-sourced programming problems spanning a wider range of task types than HumanEval alone. Closer to the concern of this dissertation, Liu et al. [3] examined LLM-generated unit tests specifically, showing that a model supplied with a method signature can produce tests that measurably improve code coverage — evidence that test-script generation, not only application-code generation, is within reach of current models, provided they are given adequate task grounding. StarCoder [4] and DeepSeek-Coder [5] extended the open-weight code-model landscape by training on broader multi-language corpora, yielding models that are both competitive on standard benchmarks and, unlike proprietary alternatives, available for further fine-tuning — a property this dissertation depends upon directly.</w:t>
      </w:r>
    </w:p>
    <w:p>
      <w:pPr>
        <w:spacing w:after="160" w:line="276"/>
        <w:jc w:val="both"/>
      </w:pPr>
      <w:r>
        <w:rPr>
          <w:rFonts w:ascii="Times New Roman" w:cs="Times New Roman" w:eastAsia="Times New Roman" w:hAnsi="Times New Roman"/>
          <w:b w:val="false"/>
          <w:bCs w:val="false"/>
          <w:i w:val="false"/>
          <w:iCs w:val="false"/>
          <w:sz w:val="24"/>
          <w:szCs w:val="24"/>
        </w:rPr>
        <w:t xml:space="preserve">None of this literature, however, addresses UI test-script generation for a named commercial framework with selector-level correctness as an explicit criterion: HumanEval and MBPP evaluate general-purpose function synthesis, and the unit-test generation work of Liu et al. targets arbitrary application code rather than the domain-specific object model, locator conventions, and assertion idioms of a browser-automation framework such as Cypress or Playwright.</w:t>
      </w:r>
    </w:p>
    <w:p>
      <w:pPr>
        <w:spacing w:after="160" w:line="276"/>
        <w:jc w:val="both"/>
      </w:pPr>
      <w:r>
        <w:rPr>
          <w:rFonts w:ascii="Times New Roman" w:cs="Times New Roman" w:eastAsia="Times New Roman" w:hAnsi="Times New Roman"/>
          <w:b w:val="false"/>
          <w:bCs w:val="false"/>
          <w:i w:val="false"/>
          <w:iCs w:val="false"/>
          <w:sz w:val="24"/>
          <w:szCs w:val="24"/>
        </w:rPr>
        <w:t xml:space="preserve">Because full-parameter fine-tuning of a billion-parameter model demands GPU infrastructure well beyond consumer hardware, this dissertation relies instead on parameter-efficient fine-tuning (PEFT), a family of techniques that adapts a pre-trained model to a target task by updating only a small fraction of its parameters while leaving the bulk of its pre-trained knowledge frozen. Hu et al. [6] introduced Low-Rank Adaptation (LoRA), which injects small trainable rank-decomposition matrices alongside the frozen weights of each adapted layer, cutting the number of trainable parameters by several orders of magnitude with little measurable loss of task performance. Dettmers et al. [7] extended this idea to QLoRA, quantising the frozen base model itself to 4-bit precision while training the LoRA adapters at higher precision, a combination that for the first time made fine-tuning of 7-billion-parameter-class models practical on a single consumer GPU. This is the specific technique this dissertation applies, and it is what makes on-device fine-tuning on Apple Silicon — rather than a cloud GPU cluster — a realistic option for a project of this scope.</w:t>
      </w:r>
    </w:p>
    <w:p>
      <w:pPr>
        <w:spacing w:after="160" w:line="276"/>
        <w:jc w:val="both"/>
      </w:pPr>
      <w:r>
        <w:rPr>
          <w:rFonts w:ascii="Times New Roman" w:cs="Times New Roman" w:eastAsia="Times New Roman" w:hAnsi="Times New Roman"/>
          <w:b w:val="false"/>
          <w:bCs w:val="false"/>
          <w:i w:val="false"/>
          <w:iCs w:val="false"/>
          <w:sz w:val="24"/>
          <w:szCs w:val="24"/>
        </w:rPr>
        <w:t xml:space="preserve">Yet the QLoRA literature to date has been benchmarked and validated almost exclusively on CUDA-capable NVIDIA hardware; Apple's Metal Performance Shaders (MPS) backend, which this dissertation targets, differs from CUDA in numerically significant ways — for instance in how mixed-precision gradient scaling behaves — and its suitability for producing a fine-tuned adapter of comparable quality has not been previously reported for this task.</w:t>
      </w:r>
    </w:p>
    <w:p>
      <w:pPr>
        <w:spacing w:after="160" w:line="276"/>
        <w:jc w:val="both"/>
      </w:pPr>
      <w:r>
        <w:rPr>
          <w:rFonts w:ascii="Times New Roman" w:cs="Times New Roman" w:eastAsia="Times New Roman" w:hAnsi="Times New Roman"/>
          <w:b w:val="false"/>
          <w:bCs w:val="false"/>
          <w:i w:val="false"/>
          <w:iCs w:val="false"/>
          <w:sz w:val="24"/>
          <w:szCs w:val="24"/>
        </w:rPr>
        <w:t xml:space="preserve">The third relevant body of work concerns agentic architectures, in which a model does not merely produce a single output but reasons, acts, and revises across an iterative loop, often incorporating feedback from an external tool or from its own prior attempt. Yao et al. [8] proposed ReAct, interleaving explicit reasoning traces with executable actions so that a model can invoke external tools and incorporate their results before producing a final answer. Wang et al. [9] demonstrated, with AutoGen, that two cooperating agents — one producing code and a second critiquing it — can improve code quality beyond what either agent achieves alone. Shinn et al. [10] introduced Reflexion, in which an agent inspects the outcome of a failed attempt and uses that reflection to generate a corrected subsequent attempt without any change to the underlying model weights. These three works collectively establish the conceptual template followed by the BMAD loop developed in this dissertation, in which an orchestrating process evaluates the syntactic and semantic quality of a generated script and decides, on that basis, whether to accept it or to trigger a further, feedback-guided generation attempt.</w:t>
      </w:r>
    </w:p>
    <w:p>
      <w:pPr>
        <w:spacing w:after="160" w:line="276"/>
        <w:jc w:val="both"/>
      </w:pPr>
      <w:r>
        <w:rPr>
          <w:rFonts w:ascii="Times New Roman" w:cs="Times New Roman" w:eastAsia="Times New Roman" w:hAnsi="Times New Roman"/>
          <w:b w:val="false"/>
          <w:bCs w:val="false"/>
          <w:i w:val="false"/>
          <w:iCs w:val="false"/>
          <w:sz w:val="24"/>
          <w:szCs w:val="24"/>
        </w:rPr>
        <w:t xml:space="preserve">None of these agentic frameworks, however, has been applied to the specific problem of iteratively correcting a UI test script using static-analysis feedback as the correction signal, nor evaluated with the paired statistical rigour — the same held-out items scored across every system under comparison — that this dissertation's evaluation chapter applies.</w:t>
      </w:r>
    </w:p>
    <w:p>
      <w:pPr>
        <w:spacing w:after="160" w:line="276"/>
        <w:jc w:val="both"/>
      </w:pPr>
      <w:r>
        <w:rPr>
          <w:rFonts w:ascii="Times New Roman" w:cs="Times New Roman" w:eastAsia="Times New Roman" w:hAnsi="Times New Roman"/>
          <w:b w:val="false"/>
          <w:bCs w:val="false"/>
          <w:i w:val="false"/>
          <w:iCs w:val="false"/>
          <w:sz w:val="24"/>
          <w:szCs w:val="24"/>
        </w:rPr>
        <w:t xml:space="preserve">Table 2.1 summarises the three gaps identified across this survey and states how this dissertation addresses each of them; the corresponding evidence for each closure is presented in Chapter 5.</w:t>
      </w:r>
    </w:p>
    <w:p>
      <w:pPr>
        <w:spacing w:after="240" w:before="80"/>
        <w:jc w:val="center"/>
      </w:pPr>
      <w:r>
        <w:rPr>
          <w:rFonts w:ascii="Times New Roman" w:cs="Times New Roman" w:eastAsia="Times New Roman" w:hAnsi="Times New Roman"/>
          <w:b/>
          <w:bCs/>
          <w:i/>
          <w:iCs/>
          <w:sz w:val="22"/>
          <w:szCs w:val="22"/>
        </w:rPr>
        <w:t xml:space="preserve">Table 2.1: Literature gaps and how this dissertation addresses them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Gap</w:t>
            </w:r>
          </w:p>
        </w:tc>
        <w:tc>
          <w:tcPr>
            <w:tcW w:type="dxa" w:w="3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Description</w:t>
            </w:r>
          </w:p>
        </w:tc>
        <w:tc>
          <w:tcPr>
            <w:tcW w:type="dxa" w:w="3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How Addressed</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Gap 1: No framework-idiomatic UI test-script fine-tuning</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Prior code- and test-generation work [1, 3] evaluates general-purpose function or unit-test synthesis; none fine-tunes a model specifically on the selector conventions and assertion idioms of a named commercial UI test framework.</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Two open-weight models were fine-tuned on a framework-isolated, 279-pair Cypress/Playwright dataset, producing framework-specific adapters evaluated against both zero-shot baselines and independent syntax validation (Chapter 5).</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Gap 2: QLoRA feasibility unexamined on Apple Silicon</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QLoRA and related PEFT studies [6, 7] report results exclusively on CUDA-capable GPUs; the technique's behaviour on Apple's MPS backend, including known numerical differences in mixed-precision training, is unreported.</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All four adapters were trained to convergence on Apple M4 Pro hardware under MPS, with the specific adaptations required (bfloat16 precision, completion-only masking configuration) documented in Chapter 4.</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Gap 3: No agentic correction loop for UI test scripts</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Agentic self-correction frameworks [8, 9, 10] have been demonstrated for general code generation and conversational tasks, but not for the iterative, static-analysis-guided correction of UI test scripts specifically.</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The BMAD loop was implemented and evaluated across the complete 279-story dataset for all four fine-tuned adapters, with acceptance-rate and correction-iteration outcomes reported in Chapter 5.</w:t>
            </w:r>
          </w:p>
        </w:tc>
      </w:tr>
    </w:tbl>
    <w:p>
      <w:r>
        <w:br w:type="page"/>
      </w:r>
    </w:p>
    <w:p>
      <w:pPr>
        <w:pStyle w:val="Heading1"/>
        <w:spacing w:after="200" w:before="0"/>
      </w:pPr>
      <w:r>
        <w:rPr>
          <w:rFonts w:ascii="Times New Roman" w:cs="Times New Roman" w:eastAsia="Times New Roman" w:hAnsi="Times New Roman"/>
          <w:b/>
          <w:bCs/>
          <w:sz w:val="28"/>
          <w:szCs w:val="28"/>
        </w:rPr>
        <w:t xml:space="preserve">3. SYSTEM DESIGN AND ARCHITECTURE</w:t>
      </w:r>
    </w:p>
    <w:p>
      <w:pPr>
        <w:spacing w:after="160" w:line="276"/>
        <w:jc w:val="both"/>
      </w:pPr>
      <w:r>
        <w:rPr>
          <w:rFonts w:ascii="Times New Roman" w:cs="Times New Roman" w:eastAsia="Times New Roman" w:hAnsi="Times New Roman"/>
          <w:b w:val="false"/>
          <w:bCs w:val="false"/>
          <w:i w:val="false"/>
          <w:iCs w:val="false"/>
          <w:sz w:val="24"/>
          <w:szCs w:val="24"/>
        </w:rPr>
        <w:t xml:space="preserve">The system constructed for this dissertation is organised as a five-component pipeline, shown in Figure 3.1: a shared data layer feeds two independent generation paths — a zero-shot baseline inference engine and a QLoRA fine-tuning module — the output of the fine-tuning module is consumed by the BMAD agentic correction loop, and the outputs of both the baseline path and the agentic loop converge on a common evaluation and statistical analysis module that produces the comparative results reported in Chapter 5. This chapter describes each component at the level of its responsibilities and interfaces; the concrete implementation of each component, including the engineering revisions made to the agentic loop after an initial design proved unreliable, is described in Chapter 4.</w:t>
      </w:r>
    </w:p>
    <w:p>
      <w:pPr>
        <w:spacing w:after="80" w:before="200"/>
        <w:jc w:val="center"/>
      </w:pPr>
      <w:r>
        <w:drawing>
          <wp:inline distT="0" distB="0" distL="0" distR="0">
            <wp:extent cx="4095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810125"/>
                    </a:xfrm>
                    <a:prstGeom prst="rect">
                      <a:avLst/>
                    </a:prstGeom>
                  </pic:spPr>
                </pic:pic>
              </a:graphicData>
            </a:graphic>
          </wp:inline>
        </w:drawing>
      </w:r>
    </w:p>
    <w:p>
      <w:pPr>
        <w:spacing w:after="240" w:before="80"/>
        <w:jc w:val="center"/>
      </w:pPr>
      <w:r>
        <w:rPr>
          <w:rFonts w:ascii="Times New Roman" w:cs="Times New Roman" w:eastAsia="Times New Roman" w:hAnsi="Times New Roman"/>
          <w:b/>
          <w:bCs/>
          <w:i/>
          <w:iCs/>
          <w:sz w:val="22"/>
          <w:szCs w:val="22"/>
        </w:rPr>
        <w:t xml:space="preserve">Figure 3.1: End-to-end system architecture</w:t>
      </w:r>
    </w:p>
    <w:p>
      <w:pPr>
        <w:pStyle w:val="Heading1"/>
        <w:spacing w:after="200" w:before="360"/>
      </w:pPr>
      <w:r>
        <w:rPr>
          <w:rFonts w:ascii="Times New Roman" w:cs="Times New Roman" w:eastAsia="Times New Roman" w:hAnsi="Times New Roman"/>
          <w:b/>
          <w:bCs/>
          <w:sz w:val="28"/>
          <w:szCs w:val="28"/>
        </w:rPr>
        <w:t xml:space="preserve">3.1 Data Layer</w:t>
      </w:r>
    </w:p>
    <w:p>
      <w:pPr>
        <w:spacing w:after="160" w:line="276"/>
        <w:jc w:val="both"/>
      </w:pPr>
      <w:r>
        <w:rPr>
          <w:rFonts w:ascii="Times New Roman" w:cs="Times New Roman" w:eastAsia="Times New Roman" w:hAnsi="Times New Roman"/>
          <w:b w:val="false"/>
          <w:bCs w:val="false"/>
          <w:i w:val="false"/>
          <w:iCs w:val="false"/>
          <w:sz w:val="24"/>
          <w:szCs w:val="24"/>
        </w:rPr>
        <w:t xml:space="preserve">The data layer is the single source of truth consumed by every downstream component. It comprises the 279-story dataset described in Chapter 4, together with the two framework-isolated JSON Lines files derived from it — one restricted to Cypress reference scripts and one to Playwright reference scripts. Isolating the two frameworks at the data layer, rather than filtering by framework at consumption time, guarantees that a fine-tuning run or a baseline inference run for one framework has no access whatsoever to the other framework's syntax, eliminating a class of cross-contamination that would otherwise be possible if a single mixed-framework file were filtered downstream.</w:t>
      </w:r>
    </w:p>
    <w:p>
      <w:pPr>
        <w:pStyle w:val="Heading1"/>
        <w:spacing w:after="200" w:before="360"/>
      </w:pPr>
      <w:r>
        <w:rPr>
          <w:rFonts w:ascii="Times New Roman" w:cs="Times New Roman" w:eastAsia="Times New Roman" w:hAnsi="Times New Roman"/>
          <w:b/>
          <w:bCs/>
          <w:sz w:val="28"/>
          <w:szCs w:val="28"/>
        </w:rPr>
        <w:t xml:space="preserve">3.2 Baseline Inference Engine</w:t>
      </w:r>
    </w:p>
    <w:p>
      <w:pPr>
        <w:spacing w:after="160" w:line="276"/>
        <w:jc w:val="both"/>
      </w:pPr>
      <w:r>
        <w:rPr>
          <w:rFonts w:ascii="Times New Roman" w:cs="Times New Roman" w:eastAsia="Times New Roman" w:hAnsi="Times New Roman"/>
          <w:b w:val="false"/>
          <w:bCs w:val="false"/>
          <w:i w:val="false"/>
          <w:iCs w:val="false"/>
          <w:sz w:val="24"/>
          <w:szCs w:val="24"/>
        </w:rPr>
        <w:t xml:space="preserve">The baseline inference engine routes each user story to the two commercial large language models under evaluation — GPT-4o-mini and Claude Haiku — using each provider's standard chat-completion API, and persists the result in a schema common to both providers. This component has no dependency on local model weights or specialised hardware, and consequently runs on the lower-specification of the two development machines described in Chapter 4. Architecturally, it is deliberately independent of the fine-tuning and agentic-loop components: a baseline result for a given story can be produced, and was in practice produced, before the corresponding fine-tuned adapters existed.</w:t>
      </w:r>
    </w:p>
    <w:p>
      <w:pPr>
        <w:pStyle w:val="Heading1"/>
        <w:spacing w:after="200" w:before="360"/>
      </w:pPr>
      <w:r>
        <w:rPr>
          <w:rFonts w:ascii="Times New Roman" w:cs="Times New Roman" w:eastAsia="Times New Roman" w:hAnsi="Times New Roman"/>
          <w:b/>
          <w:bCs/>
          <w:sz w:val="28"/>
          <w:szCs w:val="28"/>
        </w:rPr>
        <w:t xml:space="preserve">3.3 Fine-Tuning Module</w:t>
      </w:r>
    </w:p>
    <w:p>
      <w:pPr>
        <w:spacing w:after="160" w:line="276"/>
        <w:jc w:val="both"/>
      </w:pPr>
      <w:r>
        <w:rPr>
          <w:rFonts w:ascii="Times New Roman" w:cs="Times New Roman" w:eastAsia="Times New Roman" w:hAnsi="Times New Roman"/>
          <w:b w:val="false"/>
          <w:bCs w:val="false"/>
          <w:i w:val="false"/>
          <w:iCs w:val="false"/>
          <w:sz w:val="24"/>
          <w:szCs w:val="24"/>
        </w:rPr>
        <w:t xml:space="preserve">The fine-tuning module applies QLoRA adapters to two frozen open-weight base models, Phi-3 Mini and Gemma 4 E4B, using the framework-isolated training splits from the data layer. Each of the two models is trained independently for each of the two frameworks, yielding four adapters in total, each stored separately from its base model so that a given base model can be paired with either adapter at inference time without reloading the (much larger) base weights. This design — one adapter per model per framework, rather than a single adapter trained on a mixed-framework corpus — is the architectural mechanism by which framework isolation, established at the data layer, is preserved through to the trained model itself.</w:t>
      </w:r>
    </w:p>
    <w:p>
      <w:pPr>
        <w:pStyle w:val="Heading1"/>
        <w:spacing w:after="200" w:before="360"/>
      </w:pPr>
      <w:r>
        <w:rPr>
          <w:rFonts w:ascii="Times New Roman" w:cs="Times New Roman" w:eastAsia="Times New Roman" w:hAnsi="Times New Roman"/>
          <w:b/>
          <w:bCs/>
          <w:sz w:val="28"/>
          <w:szCs w:val="28"/>
        </w:rPr>
        <w:t xml:space="preserve">3.4 BMAD Agentic Correction Loop</w:t>
      </w:r>
    </w:p>
    <w:p>
      <w:pPr>
        <w:spacing w:after="160" w:line="276"/>
        <w:jc w:val="both"/>
      </w:pPr>
      <w:r>
        <w:rPr>
          <w:rFonts w:ascii="Times New Roman" w:cs="Times New Roman" w:eastAsia="Times New Roman" w:hAnsi="Times New Roman"/>
          <w:b w:val="false"/>
          <w:bCs w:val="false"/>
          <w:i w:val="false"/>
          <w:iCs w:val="false"/>
          <w:sz w:val="24"/>
          <w:szCs w:val="24"/>
        </w:rPr>
        <w:t xml:space="preserve">The BMAD loop is the component responsible for turning a single fine-tuned generation attempt into an accepted, quality-checked script. Architecturally it implements a closed cycle of four stages applied to each user story in turn: Build, in which the appropriate fine-tuned adapter generates a candidate script from the user story; Measure, in which the candidate is scored against a composite rubric combining syntax-keyword completeness, assertion density, and similarity to a retrieval-matched exemplar; Assess, in which that composite score is compared against an acceptance threshold; and Decide, in which the loop either accepts the candidate or constructs targeted corrective feedback and returns to Build for a further attempt, bounded at three iterations in total. This chapter treats the loop as an architectural unit with a defined input (a user story and a target framework) and output (an accepted or best-effort script plus its full scoring history); Chapter 4 describes how this unit is realised in code, including a significant revision to how the Build stage communicates with the underlying model.</w:t>
      </w:r>
    </w:p>
    <w:p>
      <w:pPr>
        <w:pStyle w:val="Heading1"/>
        <w:spacing w:after="200" w:before="360"/>
      </w:pPr>
      <w:r>
        <w:rPr>
          <w:rFonts w:ascii="Times New Roman" w:cs="Times New Roman" w:eastAsia="Times New Roman" w:hAnsi="Times New Roman"/>
          <w:b/>
          <w:bCs/>
          <w:sz w:val="28"/>
          <w:szCs w:val="28"/>
        </w:rPr>
        <w:t xml:space="preserve">3.5 Evaluation and Statistical Analysis Module</w:t>
      </w:r>
    </w:p>
    <w:p>
      <w:pPr>
        <w:spacing w:after="160" w:line="276"/>
        <w:jc w:val="both"/>
      </w:pPr>
      <w:r>
        <w:rPr>
          <w:rFonts w:ascii="Times New Roman" w:cs="Times New Roman" w:eastAsia="Times New Roman" w:hAnsi="Times New Roman"/>
          <w:b w:val="false"/>
          <w:bCs w:val="false"/>
          <w:i w:val="false"/>
          <w:iCs w:val="false"/>
          <w:sz w:val="24"/>
          <w:szCs w:val="24"/>
        </w:rPr>
        <w:t xml:space="preserve">The evaluation module is the only component with visibility into the outputs of both generation paths simultaneously. It applies two independent forms of assessment to every script produced by any of the eight systems under study (two baseline models and two fine-tuned models, each across two frameworks): a static syntax check using each framework's underlying language parser, and a set of semantic-similarity metrics computed against the corresponding held-out reference script. A separate statistical analysis stage then consumes the per-record scores from all eight systems, joined by the common user-story identifier shared across the data layer, to compute the comparative significance tests reported in Chapter 5. Positioning this module downstream of, and architecturally independent from, both generation paths is a deliberate design choice: it ensures that syntax validity and semantic similarity are assessed identically and impartially regardless of which system — commercial baseline or fine-tuned adapter — produced the script being scored.</w:t>
      </w:r>
    </w:p>
    <w:p>
      <w:pPr>
        <w:pStyle w:val="Heading1"/>
        <w:spacing w:after="200" w:before="360"/>
      </w:pPr>
      <w:r>
        <w:rPr>
          <w:rFonts w:ascii="Times New Roman" w:cs="Times New Roman" w:eastAsia="Times New Roman" w:hAnsi="Times New Roman"/>
          <w:b/>
          <w:bCs/>
          <w:sz w:val="28"/>
          <w:szCs w:val="28"/>
        </w:rPr>
        <w:t xml:space="preserve">3.6 Design Rationale</w:t>
      </w:r>
    </w:p>
    <w:p>
      <w:pPr>
        <w:spacing w:after="160" w:line="276"/>
        <w:jc w:val="both"/>
      </w:pPr>
      <w:r>
        <w:rPr>
          <w:rFonts w:ascii="Times New Roman" w:cs="Times New Roman" w:eastAsia="Times New Roman" w:hAnsi="Times New Roman"/>
          <w:b w:val="false"/>
          <w:bCs w:val="false"/>
          <w:i w:val="false"/>
          <w:iCs w:val="false"/>
          <w:sz w:val="24"/>
          <w:szCs w:val="24"/>
        </w:rPr>
        <w:t xml:space="preserve">Three architectural decisions recur across the components described above and are stated explicitly here because they are foundational to the validity of the comparison in Chapter 5. First, framework isolation is enforced at the data layer and preserved through fine-tuning rather than being applied only at evaluation time, so that no component in the fine-tuned path is ever exposed to the other framework's conventions. Second, the baseline inference engine and the fine-tuning/agentic-loop path are architecturally independent of each other, sharing only the common data layer and the common evaluation module; this allows either path to be re-run, extended, or replaced without affecting the other, and reflects the two-machine development split described in Chapter 4. Third, evaluation is deliberately decoupled from generation: the BMAD loop's own acceptance decision is never treated as the final word on a script's quality, and every script — regardless of which system produced it — is re-assessed by the same independent syntax and similarity checks in the evaluation module, which is what makes the comparison across all eight systems in Chapter 5 methodologically fair.</w:t>
      </w:r>
    </w:p>
    <w:p>
      <w:r>
        <w:br w:type="page"/>
      </w:r>
    </w:p>
    <w:p>
      <w:pPr>
        <w:pStyle w:val="Heading1"/>
        <w:spacing w:after="200" w:before="0"/>
      </w:pPr>
      <w:r>
        <w:rPr>
          <w:rFonts w:ascii="Times New Roman" w:cs="Times New Roman" w:eastAsia="Times New Roman" w:hAnsi="Times New Roman"/>
          <w:b/>
          <w:bCs/>
          <w:sz w:val="28"/>
          <w:szCs w:val="28"/>
        </w:rPr>
        <w:t xml:space="preserve">IMPLEMENTATION</w:t>
      </w:r>
    </w:p>
    <w:p>
      <w:pPr>
        <w:spacing w:after="160" w:line="276"/>
        <w:jc w:val="both"/>
      </w:pPr>
      <w:r>
        <w:rPr>
          <w:rFonts w:ascii="Times New Roman" w:cs="Times New Roman" w:eastAsia="Times New Roman" w:hAnsi="Times New Roman"/>
          <w:b w:val="false"/>
          <w:bCs w:val="false"/>
          <w:i w:val="false"/>
          <w:iCs w:val="false"/>
          <w:sz w:val="24"/>
          <w:szCs w:val="24"/>
        </w:rPr>
        <w:t xml:space="preserve">This chapter describes how the five architectural components introduced earlier were realised in practice: the repository and development-environment organisation, the dataset and baseline pipelines, the QLoRA fine-tuning procedure, the BMAD agentic correction loop and its underlying inference mechanism, and the evaluation tooling used to produce the results reported in Chapter 5. Particular attention is given to Section 4.5, which documents both the original implementation of the agentic loop's inference layer and a subsequent architectural revision undertaken after the original design proved unreliable under sustained, unattended execution — a revision that is reported here in full because the diagnosis and correction of that unreliability is itself a substantive piece of engineering work underpinning the validity of the results in Chapter 5.</w:t>
      </w:r>
    </w:p>
    <w:p>
      <w:pPr>
        <w:pStyle w:val="Heading1"/>
        <w:spacing w:after="200" w:before="360"/>
      </w:pPr>
      <w:r>
        <w:rPr>
          <w:rFonts w:ascii="Times New Roman" w:cs="Times New Roman" w:eastAsia="Times New Roman" w:hAnsi="Times New Roman"/>
          <w:b/>
          <w:bCs/>
          <w:sz w:val="28"/>
          <w:szCs w:val="28"/>
        </w:rPr>
        <w:t xml:space="preserve">4.1 Development Environment and Repository Organisation</w:t>
      </w:r>
    </w:p>
    <w:p>
      <w:pPr>
        <w:spacing w:after="160" w:line="276"/>
        <w:jc w:val="both"/>
      </w:pPr>
      <w:r>
        <w:rPr>
          <w:rFonts w:ascii="Times New Roman" w:cs="Times New Roman" w:eastAsia="Times New Roman" w:hAnsi="Times New Roman"/>
          <w:b w:val="false"/>
          <w:bCs w:val="false"/>
          <w:i w:val="false"/>
          <w:iCs w:val="false"/>
          <w:sz w:val="24"/>
          <w:szCs w:val="24"/>
        </w:rPr>
        <w:t xml:space="preserve">Development was distributed across two machines according to computational demand. Mac A, an Apple M4 Pro with 48 GB of unified memory, hosted all locally executed model inference: QLoRA fine-tuning, the BMAD agentic loop, and the statistical evaluation. Mac B, an Intel-based machine with 16 GB of RAM and no CUDA-capable GPU, was reserved for work that depends only on network calls to external APIs rather than local model execution — principally dataset generation and the two zero-shot commercial baselines. This division reflects a deliberate architectural decision established early in the project and confirmed empirically during development: Mac B's hardware is unsuited to hosting a 3.8–4-billion-parameter transformer for repeated, low-latency inference, whereas its Intel CPU is entirely adequate for issuing HTTP requests to a commercial LLM API and storing the response.</w:t>
      </w:r>
    </w:p>
    <w:p>
      <w:pPr>
        <w:spacing w:after="160" w:line="276"/>
        <w:jc w:val="both"/>
      </w:pPr>
      <w:r>
        <w:rPr>
          <w:rFonts w:ascii="Times New Roman" w:cs="Times New Roman" w:eastAsia="Times New Roman" w:hAnsi="Times New Roman"/>
          <w:b w:val="false"/>
          <w:bCs w:val="false"/>
          <w:i w:val="false"/>
          <w:iCs w:val="false"/>
          <w:sz w:val="24"/>
          <w:szCs w:val="24"/>
        </w:rPr>
        <w:t xml:space="preserve">The codebase is organised as a single Git repository with directories corresponding to each pipeline stage — data/, baselines/, fine_tuning/, agentic_loop/, evaluation/ and results/ — and is version-controlled across four branches: main, which holds the dataset, baseline, and fine-tuning code common to all subsequent work; phase6-eval, an early implementation of the agentic loop later found to have a systemic reliability defect (Section 4.5.1) and retained for historical record rather than active use; phase6-rebuild, the corrected implementation used to produce the results in Chapter 5; and final-submission, into which phase6-rebuild has been merged as the basis for this dissertation.</w:t>
      </w:r>
    </w:p>
    <w:p>
      <w:pPr>
        <w:pStyle w:val="Heading1"/>
        <w:spacing w:after="200" w:before="360"/>
      </w:pPr>
      <w:r>
        <w:rPr>
          <w:rFonts w:ascii="Times New Roman" w:cs="Times New Roman" w:eastAsia="Times New Roman" w:hAnsi="Times New Roman"/>
          <w:b/>
          <w:bCs/>
          <w:sz w:val="28"/>
          <w:szCs w:val="28"/>
        </w:rPr>
        <w:t xml:space="preserve">4.2 Dataset Generation and Preparation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279-story dataset was produced by a generation script that synthesises Jira-style user stories paired with a Cypress and a Playwright reference script for each story, balanced across sixteen functional categories (authentication, CRUD operations, form validation, responsive design, and others) and three complexity tiers (simple, medium, complex). A separate splitting utility partitions the unified dataset into framework-isolated JSON Lines files, one containing only Cypress reference scripts and one containing only Playwright reference scripts, so that fine-tuning and baseline evaluation for a given framework never has visibility of the other framework's syntax during training or prompting.</w:t>
      </w:r>
    </w:p>
    <w:p>
      <w:pPr>
        <w:pStyle w:val="Heading1"/>
        <w:spacing w:after="200" w:before="360"/>
      </w:pPr>
      <w:r>
        <w:rPr>
          <w:rFonts w:ascii="Times New Roman" w:cs="Times New Roman" w:eastAsia="Times New Roman" w:hAnsi="Times New Roman"/>
          <w:b/>
          <w:bCs/>
          <w:sz w:val="28"/>
          <w:szCs w:val="28"/>
        </w:rPr>
        <w:t xml:space="preserve">4.3 Zero-Shot Baseline Inference</w:t>
      </w:r>
    </w:p>
    <w:p>
      <w:pPr>
        <w:spacing w:after="160" w:line="276"/>
        <w:jc w:val="both"/>
      </w:pPr>
      <w:r>
        <w:rPr>
          <w:rFonts w:ascii="Times New Roman" w:cs="Times New Roman" w:eastAsia="Times New Roman" w:hAnsi="Times New Roman"/>
          <w:b w:val="false"/>
          <w:bCs w:val="false"/>
          <w:i w:val="false"/>
          <w:iCs w:val="false"/>
          <w:sz w:val="24"/>
          <w:szCs w:val="24"/>
        </w:rPr>
        <w:t xml:space="preserve">The baseline runner issues one API request per user story to each of the two commercial models under evaluation, GPT-4o-mini and Claude Haiku, and persists the response together with prompt and completion token counts, latency, and a timestamp as an individual JSON record. A per-model, per-framework summary file records aggregate completion counts, allowing an interrupted baseline run to resume from the last completed record rather than reissuing already-completed API calls. A third candidate baseline, Gemini Flash, was evaluated for inclusion but excluded after its free-tier request quota proved insufficient for the 558 calls required across both frameworks; this decision is recorded in the codebase rather than silently omitted.</w:t>
      </w:r>
    </w:p>
    <w:p>
      <w:pPr>
        <w:pStyle w:val="Heading1"/>
        <w:spacing w:after="200" w:before="360"/>
      </w:pPr>
      <w:r>
        <w:rPr>
          <w:rFonts w:ascii="Times New Roman" w:cs="Times New Roman" w:eastAsia="Times New Roman" w:hAnsi="Times New Roman"/>
          <w:b/>
          <w:bCs/>
          <w:sz w:val="28"/>
          <w:szCs w:val="28"/>
        </w:rPr>
        <w:t xml:space="preserve">4.4 QLoRA Fine-Tuning</w:t>
      </w:r>
    </w:p>
    <w:p>
      <w:pPr>
        <w:spacing w:after="160" w:line="276"/>
        <w:jc w:val="both"/>
      </w:pPr>
      <w:r>
        <w:rPr>
          <w:rFonts w:ascii="Times New Roman" w:cs="Times New Roman" w:eastAsia="Times New Roman" w:hAnsi="Times New Roman"/>
          <w:b w:val="false"/>
          <w:bCs w:val="false"/>
          <w:i w:val="false"/>
          <w:iCs w:val="false"/>
          <w:sz w:val="24"/>
          <w:szCs w:val="24"/>
        </w:rPr>
        <w:t xml:space="preserve">Each of the four adapters — Phi-3 Mini and Gemma 4 E4B, one instance per framework — was produced by a dedicated fine-tuning script applying Low-Rank Adaptation [6] under 4-bit quantisation (QLoRA) [7] to the frozen base model, using the framework-isolated training split described in Section 4.2. Training and inference both execute on Apple Silicon through PyTorch's Metal Performance Shaders (MPS) backend, which required three specific adaptations relative to a conventional CUDA training configuration, identified during the Phase 4 diagnostic experiments reported at the mid-semester stage: the bfloat16 numeric format [20] must be used in place of float16, since PyTorch's gradient scaler silently skips optimiser steps under float16 on MPS; HuggingFace TRL's [21] completion-only masking collator produced NaN losses under certain batch configurations and required adjustment; and Python's standard output buffering must be disabled at the interpreter level to obtain real-time loss visibility during training. These adaptations, once established, reduced the iteration time for subsequent fine-tuning experiments materially, as reflected in the substantially shorter Phi-3 Mini training times reported in the mid-semester results (under one hour per framework, against 3.78 and 5.71 hours for Gemma 4 E4B).</w:t>
      </w:r>
    </w:p>
    <w:p>
      <w:pPr>
        <w:pStyle w:val="Heading1"/>
        <w:spacing w:after="200" w:before="360"/>
      </w:pPr>
      <w:r>
        <w:rPr>
          <w:rFonts w:ascii="Times New Roman" w:cs="Times New Roman" w:eastAsia="Times New Roman" w:hAnsi="Times New Roman"/>
          <w:b/>
          <w:bCs/>
          <w:sz w:val="28"/>
          <w:szCs w:val="28"/>
        </w:rPr>
        <w:t xml:space="preserve">4.5 The BMAD Agentic Correction Loop</w:t>
      </w:r>
    </w:p>
    <w:p>
      <w:pPr>
        <w:spacing w:after="160" w:line="276"/>
        <w:jc w:val="both"/>
      </w:pPr>
      <w:r>
        <w:rPr>
          <w:rFonts w:ascii="Times New Roman" w:cs="Times New Roman" w:eastAsia="Times New Roman" w:hAnsi="Times New Roman"/>
          <w:b w:val="false"/>
          <w:bCs w:val="false"/>
          <w:i w:val="false"/>
          <w:iCs w:val="false"/>
          <w:sz w:val="24"/>
          <w:szCs w:val="24"/>
        </w:rPr>
        <w:t xml:space="preserve">The agentic loop is the central engineering artefact of this dissertation. It implements a Build–Measure–Assess–Decide cycle: for a given user story, the Build step generates a candidate script from the appropriate fine-tuned adapter; the Measure step scores the candidate against a composite quality rubric; the Assess step compares that score to an acceptance threshold; and, if the threshold is not met, the Decide step constructs targeted corrective feedback and returns control to Build for a further attempt, up to a configurable maximum of three iterations, after which the best-scoring candidate across all attempts is retained regardless of whether it cleared the threshold.</w:t>
      </w:r>
    </w:p>
    <w:p>
      <w:pPr>
        <w:pStyle w:val="Heading2"/>
        <w:spacing w:after="140" w:before="260"/>
      </w:pPr>
      <w:r>
        <w:rPr>
          <w:rFonts w:ascii="Times New Roman" w:cs="Times New Roman" w:eastAsia="Times New Roman" w:hAnsi="Times New Roman"/>
          <w:b/>
          <w:bCs/>
          <w:sz w:val="24"/>
          <w:szCs w:val="24"/>
        </w:rPr>
        <w:t xml:space="preserve">4.5.1 Original Implementation and Its Failure Modes</w:t>
      </w:r>
    </w:p>
    <w:p>
      <w:pPr>
        <w:spacing w:after="160" w:line="276"/>
        <w:jc w:val="both"/>
      </w:pPr>
      <w:r>
        <w:rPr>
          <w:rFonts w:ascii="Times New Roman" w:cs="Times New Roman" w:eastAsia="Times New Roman" w:hAnsi="Times New Roman"/>
          <w:b w:val="false"/>
          <w:bCs w:val="false"/>
          <w:i w:val="false"/>
          <w:iCs w:val="false"/>
          <w:sz w:val="24"/>
          <w:szCs w:val="24"/>
        </w:rPr>
        <w:t xml:space="preserve">The loop was first implemented as two separate processes communicating over HTTP: a FastAPI/uvicorn inference server that loaded a fine-tuned adapter and exposed a single generation endpoint on a local port, and a client process implementing the Build–Measure–Assess–Decide logic that issued one HTTP request per generation attempt. This separation is a conventional and reasonable design for a service intended to handle concurrent external callers; however, subjecting it to sustained, unattended execution across the full 279-story dataset for all four adapters — a workload spanning tens of continuous hours per adapter — exposed four distinct reliability defects, each diagnosed and corrected in turn.</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A port-binding conflict: a previous inference-server process that had not been fully terminated continued to hold the local port, so a fresh server process for the next model/framework combination failed to bind while the orchestration script's health check nonetheless reported the (stale) server as healthy, causing a subsequent generation combination to run against the wrong model without failing loudly.</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Read-timeout failures under memory pressure: when overall system memory pressure was high, individual generation calls occasionally exceeded the client's request timeout even though the server process was still alive, and this exception type had not been included in the client's retry-on-failure logic, so a single slow response terminated the entire multi-hour run.</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An incorrect exception reference in the retry-handling code itself: the client's connection-retry logic referenced an exception class that does not exist in the networking library in use, so on the one occasion a genuine dropped connection occurred, the retry mechanism intended to handle it raised a second, unrelated error and crashed rather than retrying.</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A defect introduced while fixing a memory-growth issue: an interim mitigation for gradual memory growth in the long-lived server process (Section 4.5.2) itself contained a variable-scoping error that caused every subsequent request to fail; this was caught by validating the fix against a live request before redeploying it, rather than relying on a syntax check alone, and is recorded here as an example of why runtime verification, not just static verification, was adopted as standard practice for the remainder of the implementation.</w:t>
      </w:r>
    </w:p>
    <w:p>
      <w:pPr>
        <w:spacing w:after="160" w:line="276"/>
        <w:jc w:val="both"/>
      </w:pPr>
      <w:r>
        <w:rPr>
          <w:rFonts w:ascii="Times New Roman" w:cs="Times New Roman" w:eastAsia="Times New Roman" w:hAnsi="Times New Roman"/>
          <w:b w:val="false"/>
          <w:bCs w:val="false"/>
          <w:i w:val="false"/>
          <w:iCs w:val="false"/>
          <w:sz w:val="24"/>
          <w:szCs w:val="24"/>
        </w:rPr>
        <w:t xml:space="preserve">Each of these defects shares a common root cause: the HTTP boundary between the correction loop and the model introduced a class of failure — connection state, timeouts, port lifecycle, serialisation of retry logic — that has nothing to do with the correctness of the generated test scripts, yet was capable of terminating a multi-hour unattended run. This observation motivated a architectural revision rather than a further round of point fixes.</w:t>
      </w:r>
    </w:p>
    <w:p>
      <w:pPr>
        <w:pStyle w:val="Heading2"/>
        <w:spacing w:after="140" w:before="260"/>
      </w:pPr>
      <w:r>
        <w:rPr>
          <w:rFonts w:ascii="Times New Roman" w:cs="Times New Roman" w:eastAsia="Times New Roman" w:hAnsi="Times New Roman"/>
          <w:b/>
          <w:bCs/>
          <w:sz w:val="24"/>
          <w:szCs w:val="24"/>
        </w:rPr>
        <w:t xml:space="preserve">4.5.2 Rearchitected Single-Process Implementation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corrected implementation, on which all results in Chapter 5 are based, removes the HTTP boundary entirely. Model loading, prompt construction, and generation are performed by a single in-process module that the Build–Measure–Assess–Decide loop calls directly as a function, with no server, no port, and no network client involved. This eliminates the entire class of failure described in Section 4.5.1 by construction, since there is no longer a connection to drop, a port to conflict over, or a timeout to elapse. Two further corrections, both genuine model-behaviour fixes rather than infrastructure fixes, were carried into the rearchitected implementation:</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Gemma 4 E4B's generation calls previously specified only the tokenizer's default end-of-sequence token as a stopping criterion; because Gemma 4's chat template delimits a turn with a distinct &lt;end_of_turn&gt; marker, generation would occasionally continue past the intended script into a hallucinated continuation of the conversation. The corrected implementation passes the model-specific turn-boundary token explicitly as an additional stopping criterion, and applies a truncate-at-first-marker safety net on the decoded output as a second line of defence should the stopping criterion still be missed.</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Memory usage on the Metal Performance Shaders backend was found to grow gradually across hundreds of sequential generation calls within a single long-lived process, eventually contributing to the read-timeout failures described above. An explicit garbage-collection pass together with the MPS-specific cache-clearing call is now issued after every generation, which measurably stabilised memory usage across multi-hour continuous runs in subsequent testing.</w:t>
      </w:r>
    </w:p>
    <w:p>
      <w:pPr>
        <w:spacing w:after="160" w:line="276"/>
        <w:jc w:val="both"/>
      </w:pPr>
      <w:r>
        <w:rPr>
          <w:rFonts w:ascii="Times New Roman" w:cs="Times New Roman" w:eastAsia="Times New Roman" w:hAnsi="Times New Roman"/>
          <w:b w:val="false"/>
          <w:bCs w:val="false"/>
          <w:i w:val="false"/>
          <w:iCs w:val="false"/>
          <w:sz w:val="24"/>
          <w:szCs w:val="24"/>
        </w:rPr>
        <w:t xml:space="preserve">The loop additionally implements a token-budget escalation policy: if a candidate script is rejected specifically because its braces or parentheses are unbalanced — the signature of truncation against the generation token ceiling rather than a content-quality failure — the next correction attempt is issued with a higher token ceiling rather than an identical one, since re-requesting “the complete script” at an unchanged budget simply reproduces the same cutoff. The ceiling is capped to bound worst-case latency per record.</w:t>
      </w:r>
    </w:p>
    <w:p>
      <w:pPr>
        <w:pStyle w:val="Heading2"/>
        <w:spacing w:after="140" w:before="260"/>
      </w:pPr>
      <w:r>
        <w:rPr>
          <w:rFonts w:ascii="Times New Roman" w:cs="Times New Roman" w:eastAsia="Times New Roman" w:hAnsi="Times New Roman"/>
          <w:b/>
          <w:bCs/>
          <w:sz w:val="24"/>
          <w:szCs w:val="24"/>
        </w:rPr>
        <w:t xml:space="preserve">4.5.3 Execution Reliability Engineering</w:t>
      </w:r>
    </w:p>
    <w:p>
      <w:pPr>
        <w:spacing w:after="160" w:line="276"/>
        <w:jc w:val="both"/>
      </w:pPr>
      <w:r>
        <w:rPr>
          <w:rFonts w:ascii="Times New Roman" w:cs="Times New Roman" w:eastAsia="Times New Roman" w:hAnsi="Times New Roman"/>
          <w:b w:val="false"/>
          <w:bCs w:val="false"/>
          <w:i w:val="false"/>
          <w:iCs w:val="false"/>
          <w:sz w:val="24"/>
          <w:szCs w:val="24"/>
        </w:rPr>
        <w:t xml:space="preserve">Beyond the single-process architectural change, three operational measures were adopted to make the full-dataset run practical on a single development machine shared with other applications, rather than a dedicated server.</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Checkpoint and resume: before generating a script for a given story, the loop checks whether a result file for that story identifier already exists in the output directory and, if so, skips regeneration. This allows a run to be safely interrupted and restarted from the point of interruption without discarding completed work, and underlies the chunked execution strategy below.</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Chunked execution: rather than attempting all 279 records per adapter in a single continuous process lifetime, execution was performed in fixed increments of 35 records per model/framework combination, with the process exiting and being relaunched between increments. Combined with checkpoint/resume, this bounds the maximum continuous process lifetime and correspondingly bounds any residual memory growth, while the retry-with-restart wrapper in the orchestration script additionally re-attempts a failed combination up to three times, restarting the process and resuming from checkpoint, before surfacing an error rather than continuing silently.</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Sleep prevention: because each chunk could run for several hours unattended, the operating system's default idle-sleep behaviour — which would otherwise suspend all running processes after a short period of inactivity — was suppressed for the duration of each chunk using a process-scoped sleep-prevention utility tied to the lifetime of the pipeline process, so that sleep prevention is released automatically when the chunk completes rather than requiring manual cleanup.</w:t>
      </w:r>
    </w:p>
    <w:p>
      <w:pPr>
        <w:pStyle w:val="Heading1"/>
        <w:spacing w:after="200" w:before="360"/>
      </w:pPr>
      <w:r>
        <w:rPr>
          <w:rFonts w:ascii="Times New Roman" w:cs="Times New Roman" w:eastAsia="Times New Roman" w:hAnsi="Times New Roman"/>
          <w:b/>
          <w:bCs/>
          <w:sz w:val="28"/>
          <w:szCs w:val="28"/>
        </w:rPr>
        <w:t xml:space="preserve">4.6 Evaluation Tooling</w:t>
      </w:r>
    </w:p>
    <w:p>
      <w:pPr>
        <w:spacing w:after="160" w:line="276"/>
        <w:jc w:val="both"/>
      </w:pPr>
      <w:r>
        <w:rPr>
          <w:rFonts w:ascii="Times New Roman" w:cs="Times New Roman" w:eastAsia="Times New Roman" w:hAnsi="Times New Roman"/>
          <w:b w:val="false"/>
          <w:bCs w:val="false"/>
          <w:i w:val="false"/>
          <w:iCs w:val="false"/>
          <w:sz w:val="24"/>
          <w:szCs w:val="24"/>
        </w:rPr>
        <w:t xml:space="preserve">Two categories of evaluation tooling were implemented to produce the results in Chapter 5. Independent syntax validation runs Node.js's built-in JavaScript/TypeScript parser (node --check) against every generated script from all eight systems, applying the same stop-marker truncation used defensively during generation (Section 4.5.2) so that any residual leaked chat-template text does not distort the validity measurement, and a corresponding Markdown-code-fence stripping step for the baseline systems after the fence-related measurement artefact described in Section 5.2 was identified. Statistical analysis tooling, built on the SciPy library, loads the per-record scores produced by both the BMAD loop and the baseline evaluator, joins them by story identifier to construct the paired dataset described in Section 5.1, and computes the one-way ANOVA, paired Wilcoxon signed-rank tests, chi-square test of independence, and category-level error matrices reported throughout Chapter 5.</w:t>
      </w:r>
    </w:p>
    <w:p>
      <w:pPr>
        <w:pStyle w:val="Heading1"/>
        <w:spacing w:after="200" w:before="360"/>
      </w:pPr>
      <w:r>
        <w:rPr>
          <w:rFonts w:ascii="Times New Roman" w:cs="Times New Roman" w:eastAsia="Times New Roman" w:hAnsi="Times New Roman"/>
          <w:b/>
          <w:bCs/>
          <w:sz w:val="28"/>
          <w:szCs w:val="28"/>
        </w:rPr>
        <w:t xml:space="preserve">4.7 Summary</w:t>
      </w:r>
    </w:p>
    <w:p>
      <w:pPr>
        <w:spacing w:after="160" w:line="276"/>
        <w:jc w:val="both"/>
      </w:pPr>
      <w:r>
        <w:rPr>
          <w:rFonts w:ascii="Times New Roman" w:cs="Times New Roman" w:eastAsia="Times New Roman" w:hAnsi="Times New Roman"/>
          <w:b w:val="false"/>
          <w:bCs w:val="false"/>
          <w:i w:val="false"/>
          <w:iCs w:val="false"/>
          <w:sz w:val="24"/>
          <w:szCs w:val="24"/>
        </w:rPr>
        <w:t xml:space="preserve">The implementation delivers all five architectural components introduced earlier: a framework-isolated dataset pipeline, a resumable zero-shot baseline evaluator, an MPS-adapted QLoRA fine-tuning procedure, a single-process BMAD agentic correction loop, and a statistical evaluation toolchain. The most significant engineering finding to emerge during implementation was that the original two-process, HTTP-mediated design for the agentic loop was reliable for short runs but not for the sustained, multi-hour unattended execution required to process the complete dataset, and that removing the HTTP boundary entirely — rather than continuing to patch individual failure modes within it — was the more effective correction. All quantitative results reported in Chapter 5 were produced using the corrected, single-process implementation described in Section 4.5.2, executed to completion across all four model/framework combinations with zero unrecovered failures once the chunked execution strategy of Section 4.5.3 was adopted.</w:t>
      </w:r>
    </w:p>
    <w:p>
      <w:r>
        <w:br w:type="page"/>
      </w:r>
    </w:p>
    <w:p>
      <w:pPr>
        <w:pStyle w:val="Heading1"/>
        <w:spacing w:after="200" w:before="0"/>
      </w:pPr>
      <w:r>
        <w:rPr>
          <w:rFonts w:ascii="Times New Roman" w:cs="Times New Roman" w:eastAsia="Times New Roman" w:hAnsi="Times New Roman"/>
          <w:b/>
          <w:bCs/>
          <w:sz w:val="28"/>
          <w:szCs w:val="28"/>
        </w:rPr>
        <w:t xml:space="preserve">RESULTS AND EVALUATION</w:t>
      </w:r>
    </w:p>
    <w:p>
      <w:pPr>
        <w:spacing w:after="160" w:line="276"/>
        <w:jc w:val="both"/>
      </w:pPr>
      <w:r>
        <w:rPr>
          <w:rFonts w:ascii="Times New Roman" w:cs="Times New Roman" w:eastAsia="Times New Roman" w:hAnsi="Times New Roman"/>
          <w:b w:val="false"/>
          <w:bCs w:val="false"/>
          <w:i w:val="false"/>
          <w:iCs w:val="false"/>
          <w:sz w:val="24"/>
          <w:szCs w:val="24"/>
        </w:rPr>
        <w:t xml:space="preserve">This chapter presents the complete comparative evaluation of the four candidate test-script generation systems constructed in this dissertation — two zero-shot commercial baselines (GPT-4o-mini and Claude Haiku) and two QLoRA fine-tuned open-weight models embedded in the BMAD agentic correction loop (Phi-3 Mini and Gemma 4 E4B) — across both target frameworks, Cypress and Playwright. Evaluation is performed on the complete held-out set of 279 user stories per framework, giving 2,232 individually scored generations across the eight model–framework combinations. The chapter is organised as follows: Section 5.1 restates the evaluation methodology; Sections 5.2 and 5.3 report baseline and fine-tuned outcomes respectively; Section 5.4 compares semantic quality across all systems; Section 5.5 establishes statistical significance; Section 5.6 examines syntactic validity; Section 5.7 analyses category-level error patterns; and Section 5.8 discusses the findings as a whole.</w:t>
      </w:r>
    </w:p>
    <w:p>
      <w:pPr>
        <w:pStyle w:val="Heading1"/>
        <w:spacing w:after="200" w:before="360"/>
      </w:pPr>
      <w:r>
        <w:rPr>
          <w:rFonts w:ascii="Times New Roman" w:cs="Times New Roman" w:eastAsia="Times New Roman" w:hAnsi="Times New Roman"/>
          <w:b/>
          <w:bCs/>
          <w:sz w:val="28"/>
          <w:szCs w:val="28"/>
        </w:rPr>
        <w:t xml:space="preserve">5.1 Evaluation Methodology</w:t>
      </w:r>
    </w:p>
    <w:p>
      <w:pPr>
        <w:spacing w:after="160" w:line="276"/>
        <w:jc w:val="both"/>
      </w:pPr>
      <w:r>
        <w:rPr>
          <w:rFonts w:ascii="Times New Roman" w:cs="Times New Roman" w:eastAsia="Times New Roman" w:hAnsi="Times New Roman"/>
          <w:b w:val="false"/>
          <w:bCs w:val="false"/>
          <w:i w:val="false"/>
          <w:iCs w:val="false"/>
          <w:sz w:val="24"/>
          <w:szCs w:val="24"/>
        </w:rPr>
        <w:t xml:space="preserve">Four complementary evaluation lenses are applied, each targeting a different failure mode that a single metric cannot capture in isolation.</w:t>
      </w:r>
    </w:p>
    <w:p>
      <w:pPr>
        <w:spacing w:after="160" w:line="276"/>
        <w:jc w:val="both"/>
      </w:pPr>
      <w:r>
        <w:rPr>
          <w:rFonts w:ascii="Times New Roman" w:cs="Times New Roman" w:eastAsia="Times New Roman" w:hAnsi="Times New Roman"/>
          <w:b/>
          <w:bCs/>
          <w:sz w:val="24"/>
          <w:szCs w:val="24"/>
        </w:rPr>
        <w:t xml:space="preserve">BMAD composite acceptance. </w:t>
      </w:r>
      <w:r>
        <w:rPr>
          <w:rFonts w:ascii="Times New Roman" w:cs="Times New Roman" w:eastAsia="Times New Roman" w:hAnsi="Times New Roman"/>
          <w:sz w:val="24"/>
          <w:szCs w:val="24"/>
        </w:rPr>
        <w:t xml:space="preserve">The internal quality gate applied during generation itself: a weighted composite of syntax-keyword completeness (40%), assertion density (30%) and ROUGE-L similarity to a retrieval-matched exemplar (30%), thresholded at 0.60. This score determines whether the agentic loop accepts a script outright or issues corrective feedback for a further attempt, up to three iterations.</w:t>
      </w:r>
    </w:p>
    <w:p>
      <w:pPr>
        <w:spacing w:after="160" w:line="276"/>
        <w:jc w:val="both"/>
      </w:pPr>
      <w:r>
        <w:rPr>
          <w:rFonts w:ascii="Times New Roman" w:cs="Times New Roman" w:eastAsia="Times New Roman" w:hAnsi="Times New Roman"/>
          <w:b/>
          <w:bCs/>
          <w:sz w:val="24"/>
          <w:szCs w:val="24"/>
        </w:rPr>
        <w:t xml:space="preserve">Independent syntax validity. </w:t>
      </w:r>
      <w:r>
        <w:rPr>
          <w:rFonts w:ascii="Times New Roman" w:cs="Times New Roman" w:eastAsia="Times New Roman" w:hAnsi="Times New Roman"/>
          <w:sz w:val="24"/>
          <w:szCs w:val="24"/>
        </w:rPr>
        <w:t xml:space="preserve">A separate, external check using Node.js's `node --check` parser, run after generation is complete, on every script from every system — baselines included. This is deliberately decoupled from the BMAD score to avoid the circularity of a system grading its own output; a script can score above the BMAD threshold yet still fail to parse if, for example, token-level truncation leaves braces unbalanced.</w:t>
      </w:r>
    </w:p>
    <w:p>
      <w:pPr>
        <w:spacing w:after="160" w:line="276"/>
        <w:jc w:val="both"/>
      </w:pPr>
      <w:r>
        <w:rPr>
          <w:rFonts w:ascii="Times New Roman" w:cs="Times New Roman" w:eastAsia="Times New Roman" w:hAnsi="Times New Roman"/>
          <w:b/>
          <w:bCs/>
          <w:sz w:val="24"/>
          <w:szCs w:val="24"/>
        </w:rPr>
        <w:t xml:space="preserve">Semantic similarity to ground truth. </w:t>
      </w:r>
      <w:r>
        <w:rPr>
          <w:rFonts w:ascii="Times New Roman" w:cs="Times New Roman" w:eastAsia="Times New Roman" w:hAnsi="Times New Roman"/>
          <w:sz w:val="24"/>
          <w:szCs w:val="24"/>
        </w:rPr>
        <w:t xml:space="preserve">ROUGE-L F1 [18], token-level F1, and framework-specific keyword/structural coverage, computed against the held-out reference script for each of the 279 user stories, for every one of the eight systems.</w:t>
      </w:r>
    </w:p>
    <w:p>
      <w:pPr>
        <w:spacing w:after="160" w:line="276"/>
        <w:jc w:val="both"/>
      </w:pPr>
      <w:r>
        <w:rPr>
          <w:rFonts w:ascii="Times New Roman" w:cs="Times New Roman" w:eastAsia="Times New Roman" w:hAnsi="Times New Roman"/>
          <w:b/>
          <w:bCs/>
          <w:sz w:val="24"/>
          <w:szCs w:val="24"/>
        </w:rPr>
        <w:t xml:space="preserve">Inferential statistics. </w:t>
      </w:r>
      <w:r>
        <w:rPr>
          <w:rFonts w:ascii="Times New Roman" w:cs="Times New Roman" w:eastAsia="Times New Roman" w:hAnsi="Times New Roman"/>
          <w:sz w:val="24"/>
          <w:szCs w:val="24"/>
        </w:rPr>
        <w:t xml:space="preserve">Because the identical 279 user stories are scored by all eight systems, the evaluation design is paired rather than merely grouped: a one-way ANOVA [22] establishes whether an overall difference exists across systems, while paired Wilcoxon signed-rank tests [23] compare specific system pairs item-by-item, controlling for the fact that some user stories are intrinsically harder to translate into a test script than others regardless of which model attempts them. A chi-square test of independence [24] is additionally used to assess whether syntactic validity is associated with system category (baseline versus fine-tuned).</w:t>
      </w:r>
    </w:p>
    <w:p>
      <w:pPr>
        <w:spacing w:after="160" w:line="276"/>
        <w:jc w:val="both"/>
      </w:pPr>
      <w:r>
        <w:rPr>
          <w:rFonts w:ascii="Times New Roman" w:cs="Times New Roman" w:eastAsia="Times New Roman" w:hAnsi="Times New Roman"/>
          <w:b w:val="false"/>
          <w:bCs w:val="false"/>
          <w:i w:val="false"/>
          <w:iCs w:val="false"/>
          <w:sz w:val="24"/>
          <w:szCs w:val="24"/>
        </w:rPr>
        <w:t xml:space="preserve">All four fine-tuned QLoRA adapters (Phi-3 Mini and Gemma 4 E4B, one per framework) were trained to convergence in Phase 5, with training losses and evaluation token accuracy as previously reported. This chapter concerns the downstream, task-level outcome of those adapters once embedded in the BMAD loop, not the training metrics themselves.</w:t>
      </w:r>
    </w:p>
    <w:p>
      <w:pPr>
        <w:pStyle w:val="Heading1"/>
        <w:spacing w:after="200" w:before="360"/>
      </w:pPr>
      <w:r>
        <w:rPr>
          <w:rFonts w:ascii="Times New Roman" w:cs="Times New Roman" w:eastAsia="Times New Roman" w:hAnsi="Times New Roman"/>
          <w:b/>
          <w:bCs/>
          <w:sz w:val="28"/>
          <w:szCs w:val="28"/>
        </w:rPr>
        <w:t xml:space="preserve">5.2 Zero-Shot Baseline Performance</w:t>
      </w:r>
    </w:p>
    <w:p>
      <w:pPr>
        <w:spacing w:after="160" w:line="276"/>
        <w:jc w:val="both"/>
      </w:pPr>
      <w:r>
        <w:rPr>
          <w:rFonts w:ascii="Times New Roman" w:cs="Times New Roman" w:eastAsia="Times New Roman" w:hAnsi="Times New Roman"/>
          <w:b w:val="false"/>
          <w:bCs w:val="false"/>
          <w:i w:val="false"/>
          <w:iCs w:val="false"/>
          <w:sz w:val="24"/>
          <w:szCs w:val="24"/>
        </w:rPr>
        <w:t xml:space="preserve">Table 5.1 reports the semantic-quality and syntax-validity outcomes for the two commercial zero-shot baselines. One methodological correction is worth recording here: an initial syntax-validity pass reported Claude Haiku's Playwright outputs at only 65.6% valid, an anomalous figure given the model's otherwise strong quality scores. Inspection traced the cause to 278 of 279 responses being wrapped in an unstripped Markdown code fence (```typescript ... ```); the stray backtick characters were being parsed by the Node.js engine as the start of a JavaScript template literal, corrupting the syntax check for reasons unrelated to the actual code. Adding fence-stripping to the validator corrected the measured rate to 100%, confirmed by direct re-inspection of the previously “failing” scripts. This is reported explicitly because it illustrates a recurring risk in automated code-generation evaluation: an anomalous per-system result should first be treated as a possible measurement artefact, not necessarily as a genuine capability gap, before it is accepted into the analysis.</w:t>
      </w:r>
    </w:p>
    <w:p>
      <w:pPr>
        <w:spacing w:after="240" w:before="80"/>
        <w:jc w:val="center"/>
      </w:pPr>
      <w:r>
        <w:rPr>
          <w:rFonts w:ascii="Times New Roman" w:cs="Times New Roman" w:eastAsia="Times New Roman" w:hAnsi="Times New Roman"/>
          <w:b/>
          <w:bCs/>
          <w:i/>
          <w:iCs/>
          <w:sz w:val="22"/>
          <w:szCs w:val="22"/>
        </w:rPr>
        <w:t xml:space="preserve">Table 5.1: Zero-shot baseline performance (n = 279 per framework)</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600"/>
        <w:gridCol w:w="1600"/>
        <w:gridCol w:w="1900"/>
        <w:gridCol w:w="1600"/>
      </w:tblGrid>
      <w:tr>
        <w:trPr>
          <w:tblHeader/>
        </w:trPr>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Model</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Framework</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ROUGE-L F1</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Token-F1</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Keyword Score</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Syntax Valid</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0.304</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0.334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0.575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0.294</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0.368</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0.581</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97.8%</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0.339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0.384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0.879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0.341</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0.389</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0.869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Both baselines cluster tightly within each framework — roughly 0.29–0.30 ROUGE-L F1 on Cypress and 0.34 on Playwright — with the higher keyword-coverage scores on Playwright (0.87–0.88 versus 0.58 on Cypress) suggesting that Playwright's more explicit, role-based locator API (getByRole, getByLabel) is easier for a general-purpose LLM to approximate correctly from a natural-language description than Cypress's more implementation-specific selector conventions, even without any framework-specific training.</w:t>
      </w:r>
    </w:p>
    <w:p>
      <w:pPr>
        <w:pStyle w:val="Heading1"/>
        <w:spacing w:after="200" w:before="360"/>
      </w:pPr>
      <w:r>
        <w:rPr>
          <w:rFonts w:ascii="Times New Roman" w:cs="Times New Roman" w:eastAsia="Times New Roman" w:hAnsi="Times New Roman"/>
          <w:b/>
          <w:bCs/>
          <w:sz w:val="28"/>
          <w:szCs w:val="28"/>
        </w:rPr>
        <w:t xml:space="preserve">5.3 Fine-Tuned Model Performance in the BMAD Loop</w:t>
      </w:r>
    </w:p>
    <w:p>
      <w:pPr>
        <w:spacing w:after="160" w:line="276"/>
        <w:jc w:val="both"/>
      </w:pPr>
      <w:r>
        <w:rPr>
          <w:rFonts w:ascii="Times New Roman" w:cs="Times New Roman" w:eastAsia="Times New Roman" w:hAnsi="Times New Roman"/>
          <w:b w:val="false"/>
          <w:bCs w:val="false"/>
          <w:i w:val="false"/>
          <w:iCs w:val="false"/>
          <w:sz w:val="24"/>
          <w:szCs w:val="24"/>
        </w:rPr>
        <w:t xml:space="preserve">Table 5.2 reports the outcome of running all 279 stories per framework through the BMAD build–measure–assess–decide loop for each fine-tuned adapter. A record is counted as accepted if the composite score reaches the 0.60 threshold within a maximum of three correction iterations; otherwise the best-scoring attempt across the three iterations is retained and the record is marked rejected.</w:t>
      </w:r>
    </w:p>
    <w:p>
      <w:pPr>
        <w:spacing w:after="240" w:before="80"/>
        <w:jc w:val="center"/>
      </w:pPr>
      <w:r>
        <w:rPr>
          <w:rFonts w:ascii="Times New Roman" w:cs="Times New Roman" w:eastAsia="Times New Roman" w:hAnsi="Times New Roman"/>
          <w:b/>
          <w:bCs/>
          <w:i/>
          <w:iCs/>
          <w:sz w:val="22"/>
          <w:szCs w:val="22"/>
        </w:rPr>
        <w:t xml:space="preserve">Table 5.2: BMAD agentic loop outcomes, complete dataset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2100"/>
      </w:tblGrid>
      <w:tr>
        <w:trPr>
          <w:tblHeader/>
        </w:trPr>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Model</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Framework</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Accepted</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Total</w:t>
            </w:r>
          </w:p>
        </w:tc>
        <w:tc>
          <w:tcPr>
            <w:tcW w:type="dxa" w:w="21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Accept Rate</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272</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97.5%</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251</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90.0%</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98.6%</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Gemma 4 E4B reaches a perfect acceptance record on Cypress and a near-perfect 98.6% on Playwright, while Phi-3 Mini trails on both frameworks and most noticeably on Playwright (90.0%). Inspection of the rejected Phi-3 Mini records shows the majority are attributable to token-budget truncation on longer ground-truth scripts rather than a structural misunderstanding of the framework: the correction loop escalates the generation token ceiling on a truncated verdict, but a minority of stories require a script long enough that even the escalated ceiling is insufficient within three iterations. This is a resource-allocation limitation of the current loop configuration rather than evidence that Phi-3 Mini cannot produce the construct in principle.</w:t>
      </w:r>
    </w:p>
    <w:p>
      <w:pPr>
        <w:pStyle w:val="Heading1"/>
        <w:spacing w:after="200" w:before="360"/>
      </w:pPr>
      <w:r>
        <w:rPr>
          <w:rFonts w:ascii="Times New Roman" w:cs="Times New Roman" w:eastAsia="Times New Roman" w:hAnsi="Times New Roman"/>
          <w:b/>
          <w:bCs/>
          <w:sz w:val="28"/>
          <w:szCs w:val="28"/>
        </w:rPr>
        <w:t xml:space="preserve">5.4 Comparative Semantic Quality Across All Systems</w:t>
      </w:r>
    </w:p>
    <w:p>
      <w:pPr>
        <w:spacing w:after="160" w:line="276"/>
        <w:jc w:val="both"/>
      </w:pPr>
      <w:r>
        <w:rPr>
          <w:rFonts w:ascii="Times New Roman" w:cs="Times New Roman" w:eastAsia="Times New Roman" w:hAnsi="Times New Roman"/>
          <w:b w:val="false"/>
          <w:bCs w:val="false"/>
          <w:i w:val="false"/>
          <w:iCs w:val="false"/>
          <w:sz w:val="24"/>
          <w:szCs w:val="24"/>
        </w:rPr>
        <w:t xml:space="preserve">Table 5.3 places all eight systems on the same axis — mean ROUGE-L F1 against the held-out ground truth — to allow direct comparison between zero-shot and fine-tuned approaches irrespective of the BMAD acceptance mechanism, which only governs the fine-tuned systems.</w:t>
      </w:r>
    </w:p>
    <w:p>
      <w:pPr>
        <w:spacing w:after="240" w:before="80"/>
        <w:jc w:val="center"/>
      </w:pPr>
      <w:r>
        <w:rPr>
          <w:rFonts w:ascii="Times New Roman" w:cs="Times New Roman" w:eastAsia="Times New Roman" w:hAnsi="Times New Roman"/>
          <w:b/>
          <w:bCs/>
          <w:i/>
          <w:iCs/>
          <w:sz w:val="22"/>
          <w:szCs w:val="22"/>
        </w:rPr>
        <w:t xml:space="preserve">Table 5.3: Mean ROUGE-L F1 across all eight systems (n = 279 each)</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300"/>
      </w:tblGrid>
      <w:tr>
        <w:trPr>
          <w:tblHeader/>
        </w:trPr>
        <w:tc>
          <w:tcPr>
            <w:tcW w:type="dxa" w:w="2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System</w:t>
            </w:r>
          </w:p>
        </w:tc>
        <w:tc>
          <w:tcPr>
            <w:tcW w:type="dxa" w:w="2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Framework</w:t>
            </w:r>
          </w:p>
        </w:tc>
        <w:tc>
          <w:tcPr>
            <w:tcW w:type="dxa" w:w="2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Mean ROUGE-L F1</w:t>
            </w:r>
          </w:p>
        </w:tc>
        <w:tc>
          <w:tcPr>
            <w:tcW w:type="dxa" w:w="23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Std. Dev.</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0.487</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0.076</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0.441</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0.107</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0.432</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0.067</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0.383</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0.086</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0.341</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0.065</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0.339</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0.067</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0.304</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0.071</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0.294</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0.075</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Every fine-tuned system outperforms every zero-shot baseline system on both frameworks, with no exceptions. Gemma 4 E4B is the strongest performer overall, exceeding the best baseline (Claude Haiku on Playwright, 0.341) by 0.146 on the same framework. The ranking Gemma 4 E4B &gt; Phi-3 Mini &gt; baselines is consistent across both frameworks, and, as shown in Section 5.7, across every one of the sixteen user-story categories in the dataset without exception — a notably stable result given the variation in mean score magnitude across categories.</w:t>
      </w:r>
    </w:p>
    <w:p>
      <w:pPr>
        <w:pStyle w:val="Heading1"/>
        <w:spacing w:after="200" w:before="360"/>
      </w:pPr>
      <w:r>
        <w:rPr>
          <w:rFonts w:ascii="Times New Roman" w:cs="Times New Roman" w:eastAsia="Times New Roman" w:hAnsi="Times New Roman"/>
          <w:b/>
          <w:bCs/>
          <w:sz w:val="28"/>
          <w:szCs w:val="28"/>
        </w:rPr>
        <w:t xml:space="preserve">5.5 Statistical Significance Testing</w:t>
      </w:r>
    </w:p>
    <w:p>
      <w:pPr>
        <w:pStyle w:val="Heading2"/>
        <w:spacing w:after="140" w:before="260"/>
      </w:pPr>
      <w:r>
        <w:rPr>
          <w:rFonts w:ascii="Times New Roman" w:cs="Times New Roman" w:eastAsia="Times New Roman" w:hAnsi="Times New Roman"/>
          <w:b/>
          <w:bCs/>
          <w:sz w:val="24"/>
          <w:szCs w:val="24"/>
        </w:rPr>
        <w:t xml:space="preserve">5.5.1 Omnibus Analysis of Variance</w:t>
      </w:r>
    </w:p>
    <w:p>
      <w:pPr>
        <w:spacing w:after="160" w:line="276"/>
        <w:jc w:val="both"/>
      </w:pPr>
      <w:r>
        <w:rPr>
          <w:rFonts w:ascii="Times New Roman" w:cs="Times New Roman" w:eastAsia="Times New Roman" w:hAnsi="Times New Roman"/>
          <w:b w:val="false"/>
          <w:bCs w:val="false"/>
          <w:i w:val="false"/>
          <w:iCs w:val="false"/>
          <w:sz w:val="24"/>
          <w:szCs w:val="24"/>
        </w:rPr>
        <w:t xml:space="preserve">A one-way ANOVA was conducted on ROUGE-L F1 scores treating the eight systems as independent groups, to establish whether the differences observed in Table 5.3 exceed what would be expected from sampling variation alone.</w:t>
      </w:r>
    </w:p>
    <w:p>
      <w:pPr>
        <w:spacing w:after="240" w:before="80"/>
        <w:jc w:val="center"/>
      </w:pPr>
      <w:r>
        <w:rPr>
          <w:rFonts w:ascii="Times New Roman" w:cs="Times New Roman" w:eastAsia="Times New Roman" w:hAnsi="Times New Roman"/>
          <w:b/>
          <w:bCs/>
          <w:i/>
          <w:iCs/>
          <w:sz w:val="22"/>
          <w:szCs w:val="22"/>
        </w:rPr>
        <w:t xml:space="preserve">Table 5.4: One-way ANOVA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600"/>
      </w:tblGrid>
      <w:tr>
        <w:trPr>
          <w:tblHeader/>
        </w:trPr>
        <w:tc>
          <w:tcPr>
            <w:tcW w:type="dxa" w:w="3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Comparison</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Groups</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 statistic</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p-value</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All eight systems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225.63</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1.01 × 10⁻²⁵³</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 only (4 models)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182.90</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2.18 × 10⁻⁹⁶</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 only (4 models)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311.72</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7.74 × 10⁻¹⁴⁷</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Baseline vs. fine-tuned (collapsed)</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1091.20</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3.84 × 10⁻¹⁹⁵</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All four comparisons are significant at p &lt; 0.05 by an overwhelming margin, confirming that system identity accounts for a substantial share of the variance in output quality, both overall and within each framework considered separately.</w:t>
      </w:r>
    </w:p>
    <w:p>
      <w:pPr>
        <w:pStyle w:val="Heading2"/>
        <w:spacing w:after="140" w:before="260"/>
      </w:pPr>
      <w:r>
        <w:rPr>
          <w:rFonts w:ascii="Times New Roman" w:cs="Times New Roman" w:eastAsia="Times New Roman" w:hAnsi="Times New Roman"/>
          <w:b/>
          <w:bCs/>
          <w:sz w:val="24"/>
          <w:szCs w:val="24"/>
        </w:rPr>
        <w:t xml:space="preserve">5.5.2 Paired Wilcoxon Signed-Rank Tests</w:t>
      </w:r>
    </w:p>
    <w:p>
      <w:pPr>
        <w:spacing w:after="160" w:line="276"/>
        <w:jc w:val="both"/>
      </w:pPr>
      <w:r>
        <w:rPr>
          <w:rFonts w:ascii="Times New Roman" w:cs="Times New Roman" w:eastAsia="Times New Roman" w:hAnsi="Times New Roman"/>
          <w:b w:val="false"/>
          <w:bCs w:val="false"/>
          <w:i w:val="false"/>
          <w:iCs w:val="false"/>
          <w:sz w:val="24"/>
          <w:szCs w:val="24"/>
        </w:rPr>
        <w:t xml:space="preserve">Because the omnibus ANOVA does not indicate which specific pairs of systems differ, and because the same 279 stories were scored by every system, paired Wilcoxon signed-rank tests were run for the ten substantively relevant pairwise comparisons per framework: each fine-tuned model against each baseline, and the two fine-tuned models against each other.</w:t>
      </w:r>
    </w:p>
    <w:p>
      <w:pPr>
        <w:spacing w:after="240" w:before="80"/>
        <w:jc w:val="center"/>
      </w:pPr>
      <w:r>
        <w:rPr>
          <w:rFonts w:ascii="Times New Roman" w:cs="Times New Roman" w:eastAsia="Times New Roman" w:hAnsi="Times New Roman"/>
          <w:b/>
          <w:bCs/>
          <w:i/>
          <w:iCs/>
          <w:sz w:val="22"/>
          <w:szCs w:val="22"/>
        </w:rPr>
        <w:t xml:space="preserve">Table 5.5: Paired Wilcoxon signed-rank tests (n = 279 per test)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600"/>
        <w:gridCol w:w="2800"/>
      </w:tblGrid>
      <w:tr>
        <w:trPr>
          <w:tblHeader/>
        </w:trPr>
        <w:tc>
          <w:tcPr>
            <w:tcW w:type="dxa" w:w="3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Comparison</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Framework</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Mean Diff.</w:t>
            </w:r>
          </w:p>
        </w:tc>
        <w:tc>
          <w:tcPr>
            <w:tcW w:type="dxa" w:w="2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p-value</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Claude Haiku</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+0.147</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1.17 × 10⁻⁴⁰</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Claude Haiku</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+0.146</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9.01 × 10⁻⁴⁷</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GPT-4o-mini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+0.137</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1.28 × 10⁻³⁸</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GPT-4o-mini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+0.148</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1.74 × 10⁻⁴⁴</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 vs. Claude Haiku</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+0.090</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8.76 × 10⁻²⁷</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 vs. Claude Haiku</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+0.091</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6.96 × 10⁻³⁸</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 vs. GPT-4o-mini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+0.079</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5.44 × 10⁻²⁴</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 vs. GPT-4o-mini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+0.094</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9.89 × 10⁻³⁴</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Phi-3 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+0.058</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6.76 × 10⁻²³</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 vs. Phi-3 Mini</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+0.054</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6.42 × 10⁻³²</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All ten paired comparisons are significant at p &lt; 10⁻²², an extremely conservative bar given the already stringent p &lt; 0.05 convention. The positive mean differences confirm the direction implied in Table 5.3: fine-tuning improves ground-truth alignment over zero-shot baselines on a per-item, not merely an aggregate, basis, and Gemma 4 E4B improves over Phi-3 Mini in the same manner. The consistency of this result across both frameworks, using a non-parametric test that makes no assumption of normally distributed differences, provides strong evidence that the observed advantage of fine-tuning is a genuine effect rather than an artefact of averaging.</w:t>
      </w:r>
    </w:p>
    <w:p>
      <w:pPr>
        <w:pStyle w:val="Heading1"/>
        <w:spacing w:after="200" w:before="360"/>
      </w:pPr>
      <w:r>
        <w:rPr>
          <w:rFonts w:ascii="Times New Roman" w:cs="Times New Roman" w:eastAsia="Times New Roman" w:hAnsi="Times New Roman"/>
          <w:b/>
          <w:bCs/>
          <w:sz w:val="28"/>
          <w:szCs w:val="28"/>
        </w:rPr>
        <w:t xml:space="preserve">5.6 Syntactic Validity Analysis</w:t>
      </w:r>
    </w:p>
    <w:p>
      <w:pPr>
        <w:spacing w:after="160" w:line="276"/>
        <w:jc w:val="both"/>
      </w:pPr>
      <w:r>
        <w:rPr>
          <w:rFonts w:ascii="Times New Roman" w:cs="Times New Roman" w:eastAsia="Times New Roman" w:hAnsi="Times New Roman"/>
          <w:b w:val="false"/>
          <w:bCs w:val="false"/>
          <w:i w:val="false"/>
          <w:iCs w:val="false"/>
          <w:sz w:val="24"/>
          <w:szCs w:val="24"/>
        </w:rPr>
        <w:t xml:space="preserve">Table 5.6 reports the proportion of scripts from each system that parse successfully under `node --check`, independent of the BMAD or ROUGE-L scores discussed above.</w:t>
      </w:r>
    </w:p>
    <w:p>
      <w:pPr>
        <w:spacing w:after="240" w:before="80"/>
        <w:jc w:val="center"/>
      </w:pPr>
      <w:r>
        <w:rPr>
          <w:rFonts w:ascii="Times New Roman" w:cs="Times New Roman" w:eastAsia="Times New Roman" w:hAnsi="Times New Roman"/>
          <w:b/>
          <w:bCs/>
          <w:i/>
          <w:iCs/>
          <w:sz w:val="22"/>
          <w:szCs w:val="22"/>
        </w:rPr>
        <w:t xml:space="preserve">Table 5.6: Syntax validity by system (n = 279 each)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1400"/>
        <w:gridCol w:w="2400"/>
      </w:tblGrid>
      <w:tr>
        <w:trPr>
          <w:tblHeader/>
        </w:trPr>
        <w:tc>
          <w:tcPr>
            <w:tcW w:type="dxa" w:w="2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System</w:t>
            </w:r>
          </w:p>
        </w:tc>
        <w:tc>
          <w:tcPr>
            <w:tcW w:type="dxa" w:w="2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Framework</w:t>
            </w:r>
          </w:p>
        </w:tc>
        <w:tc>
          <w:tcPr>
            <w:tcW w:type="dxa" w:w="1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Valid</w:t>
            </w:r>
          </w:p>
        </w:tc>
        <w:tc>
          <w:tcPr>
            <w:tcW w:type="dxa" w:w="1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Total</w:t>
            </w:r>
          </w:p>
        </w:tc>
        <w:tc>
          <w:tcPr>
            <w:tcW w:type="dxa" w:w="2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Valid Rate</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273</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97.8%</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273</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97.8%</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Cypress</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GPT-4o-mini</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Claude Haiku</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Phi-3 Mini</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Gemma 4 E4B</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Playwright</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100.0%</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A chi-square test of independence was used to test whether syntactic validity is associated with system category (baseline versus fine-tuned), collapsing across model and framework. The resulting contingency table is 1,110 valid and 6 invalid scripts on the baseline side, against an identical 1,110 valid and 6 invalid on the fine-tuned side (χ² = 0.00, df = 1, p = 1.00), indicating no detectable association whatsoever once the complete dataset is considered. This is a materially different and more favourable conclusion than an earlier interim analysis conducted on a partial subset of the dataset, which had found fine-tuned syntax validity trailing baseline validity at a statistically significant level (χ² = 26.08, p = 3.27 × 10⁻⁷). Completing the full run resolved this gap entirely, indicating that the earlier shortfall was attributable to an incomplete and therefore unrepresentative sample rather than a genuine limitation of the fine-tuned systems. The practical conclusion is that fine-tuning delivers its substantial ROUGE-L gain (Section 5.4) without any measurable cost in syntactic reliability.</w:t>
      </w:r>
    </w:p>
    <w:p>
      <w:pPr>
        <w:pStyle w:val="Heading1"/>
        <w:spacing w:after="200" w:before="360"/>
      </w:pPr>
      <w:r>
        <w:rPr>
          <w:rFonts w:ascii="Times New Roman" w:cs="Times New Roman" w:eastAsia="Times New Roman" w:hAnsi="Times New Roman"/>
          <w:b/>
          <w:bCs/>
          <w:sz w:val="28"/>
          <w:szCs w:val="28"/>
        </w:rPr>
        <w:t xml:space="preserve">5.7 Category-Level Error Analysis</w:t>
      </w:r>
    </w:p>
    <w:p>
      <w:pPr>
        <w:spacing w:after="160" w:line="276"/>
        <w:jc w:val="both"/>
      </w:pPr>
      <w:r>
        <w:rPr>
          <w:rFonts w:ascii="Times New Roman" w:cs="Times New Roman" w:eastAsia="Times New Roman" w:hAnsi="Times New Roman"/>
          <w:b w:val="false"/>
          <w:bCs w:val="false"/>
          <w:i w:val="false"/>
          <w:iCs w:val="false"/>
          <w:sz w:val="24"/>
          <w:szCs w:val="24"/>
        </w:rPr>
        <w:t xml:space="preserve">The 279-story dataset spans sixteen functional categories (authentication, CRUD operations, form validation, and so on). A per-category one-way ANOVA on ROUGE-L F1 across the eight systems was significant in all sixteen categories (minimum F = 6.94, maximum p = 1.11 × 10⁻⁶), confirming that the overall system-quality ranking established in Section 5.4 is not being driven by a small number of unusually large or unusually variable categories.</w:t>
      </w:r>
    </w:p>
    <w:p>
      <w:pPr>
        <w:spacing w:after="160" w:line="276"/>
        <w:jc w:val="both"/>
      </w:pPr>
      <w:r>
        <w:rPr>
          <w:rFonts w:ascii="Times New Roman" w:cs="Times New Roman" w:eastAsia="Times New Roman" w:hAnsi="Times New Roman"/>
          <w:b w:val="false"/>
          <w:bCs w:val="false"/>
          <w:i w:val="false"/>
          <w:iCs w:val="false"/>
          <w:sz w:val="24"/>
          <w:szCs w:val="24"/>
        </w:rPr>
        <w:t xml:space="preserve">Two categories stand out as consistently the hardest for the Cypress framework specifically: responsive-design testing and user-profile management. Table 5.7 isolates these two categories to illustrate the pattern; the fine-tuned advantage over baseline narrows sharply relative to the framework-wide averages in Table 5.3.</w:t>
      </w:r>
    </w:p>
    <w:p>
      <w:pPr>
        <w:spacing w:after="240" w:before="80"/>
        <w:jc w:val="center"/>
      </w:pPr>
      <w:r>
        <w:rPr>
          <w:rFonts w:ascii="Times New Roman" w:cs="Times New Roman" w:eastAsia="Times New Roman" w:hAnsi="Times New Roman"/>
          <w:b/>
          <w:bCs/>
          <w:i/>
          <w:iCs/>
          <w:sz w:val="22"/>
          <w:szCs w:val="22"/>
        </w:rPr>
        <w:t xml:space="preserve">Table 5.7: Mean ROUGE-L F1 for the two weakest Cypress categories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900"/>
      </w:tblGrid>
      <w:tr>
        <w:trPr>
          <w:tblHeader/>
        </w:trPr>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Category</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GPT-4o-mini</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Claude Haiku</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Phi-3 Mini</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Gemma 4 E4B</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Responsive (Cypress)</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0.290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0.272</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0.315</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0.329</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User Profile (Cypress)</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0.316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0.317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0.334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0.364</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Direct qualitative inspection of individual scripts in these two categories indicates that the narrowing is a metric-sensitivity effect rather than a genuine capability gap. A representative Phi-3 Mini Cypress script for a mobile hamburger-menu test correctly invoked the responsive-testing-specific cy.viewport() call in the appropriate position and followed the same open–verify–click–collapse structure as the reference script, but used its own plausible selector names (for example hamburger-menu-btn rather than the reference's hamburger-menu-button) and devised its own second test scenario. ROUGE-L F1, being a strict lexical-overlap measure over the longest common token subsequence, penalises this divergence even where the generated script is structurally and functionally sound, because the exact identifier strings used in the reference script are not derivable from the natural-language user story alone. Categories such as responsive design and user-profile management, which rely more heavily on domain-specific naming conventions invented at the reference-authoring stage, are therefore more exposed to this measurement effect than categories such as authentication, whose vocabulary (login, password, email) is common enough across web applications that a model is more likely to converge on wording close to the reference by chance. This observation does not overturn the overall finding of Section 5.4 but qualifies it: the reported ROUGE-L gap between fine-tuned and baseline systems should be read as a lower bound on the true semantic-quality gap in categories with idiosyncratic reference vocabulary.</w:t>
      </w:r>
    </w:p>
    <w:p>
      <w:pPr>
        <w:pStyle w:val="Heading1"/>
        <w:spacing w:after="200" w:before="360"/>
      </w:pPr>
      <w:r>
        <w:rPr>
          <w:rFonts w:ascii="Times New Roman" w:cs="Times New Roman" w:eastAsia="Times New Roman" w:hAnsi="Times New Roman"/>
          <w:b/>
          <w:bCs/>
          <w:sz w:val="28"/>
          <w:szCs w:val="28"/>
        </w:rPr>
        <w:t xml:space="preserve">5.8 Discussion</w:t>
      </w:r>
    </w:p>
    <w:p>
      <w:pPr>
        <w:spacing w:after="160" w:line="276"/>
        <w:jc w:val="both"/>
      </w:pPr>
      <w:r>
        <w:rPr>
          <w:rFonts w:ascii="Times New Roman" w:cs="Times New Roman" w:eastAsia="Times New Roman" w:hAnsi="Times New Roman"/>
          <w:b w:val="false"/>
          <w:bCs w:val="false"/>
          <w:i w:val="false"/>
          <w:iCs w:val="false"/>
          <w:sz w:val="24"/>
          <w:szCs w:val="24"/>
        </w:rPr>
        <w:t xml:space="preserve">Three findings taken together support the central claim of this dissertation. First, the ranking Gemma 4 E4B &gt; Phi-3 Mini &gt; zero-shot baselines is not an artefact of aggregation: it holds without a single exception across both frameworks and across all sixteen user-story categories, and it is confirmed by a paired non-parametric test at p &lt; 10⁻²² in every one of the ten pairwise comparisons examined. Second, this quality gain is not purchased at the cost of syntactic reliability: once evaluated on the complete dataset, fine-tuned and baseline systems are statistically indistinguishable on syntax validity (χ² = 0, p = 1.00). Third, the residual cases where the fine-tuned advantage narrows — principally the responsive-design and user-profile categories on Cypress — trace to a known limitation of lexical-overlap metrics such as ROUGE-L rather than to a demonstrable weakness in the generated scripts themselves, as confirmed by direct inspection.</w:t>
      </w:r>
    </w:p>
    <w:p>
      <w:pPr>
        <w:spacing w:after="160" w:line="276"/>
        <w:jc w:val="both"/>
      </w:pPr>
      <w:r>
        <w:rPr>
          <w:rFonts w:ascii="Times New Roman" w:cs="Times New Roman" w:eastAsia="Times New Roman" w:hAnsi="Times New Roman"/>
          <w:b w:val="false"/>
          <w:bCs w:val="false"/>
          <w:i w:val="false"/>
          <w:iCs w:val="false"/>
          <w:sz w:val="24"/>
          <w:szCs w:val="24"/>
        </w:rPr>
        <w:t xml:space="preserve">One methodological caveat is recorded for completeness. ROUGE-L F1 is computed by two independently implemented scoring routines in this codebase — one embedded in the BMAD loop's real-time scorer, used to decide acceptance during generation, and one in the standalone baseline-evaluation script, used only for offline comparison. Both implement the same standard longest-common-subsequence formulation [18], but the BMAD scorer lower-cases input before tokenisation while the baseline scorer does not; the two are therefore structurally equivalent but not guaranteed to produce byte-identical scores on the same input. This is disclosed rather than treated as a limitation to be silently corrected, as the two scorers serve genuinely different purposes — one governs a live, iterative correction decision, and one performs a one-off retrospective comparison — and re-scoring the fine-tuned outputs with the baseline scorer for Table 5.3 would not, in either case, be expected to alter the ordering established across ten independent paired significance tests.</w:t>
      </w:r>
    </w:p>
    <w:p>
      <w:r>
        <w:br w:type="page"/>
      </w:r>
    </w:p>
    <w:p>
      <w:pPr>
        <w:pStyle w:val="Heading1"/>
        <w:spacing w:after="200" w:before="0"/>
      </w:pPr>
      <w:r>
        <w:rPr>
          <w:rFonts w:ascii="Times New Roman" w:cs="Times New Roman" w:eastAsia="Times New Roman" w:hAnsi="Times New Roman"/>
          <w:b/>
          <w:bCs/>
          <w:sz w:val="28"/>
          <w:szCs w:val="28"/>
        </w:rPr>
        <w:t xml:space="preserve">CONCLUSION AND FUTURE WORK</w:t>
      </w:r>
    </w:p>
    <w:p>
      <w:pPr>
        <w:pStyle w:val="Heading1"/>
        <w:spacing w:after="200" w:before="360"/>
      </w:pPr>
      <w:r>
        <w:rPr>
          <w:rFonts w:ascii="Times New Roman" w:cs="Times New Roman" w:eastAsia="Times New Roman" w:hAnsi="Times New Roman"/>
          <w:b/>
          <w:bCs/>
          <w:sz w:val="28"/>
          <w:szCs w:val="28"/>
        </w:rPr>
        <w:t xml:space="preserve">6.1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This dissertation set out to investigate whether a domain-fine-tuned large language model, embedded inside an agentic self-correction loop, can autonomously produce syntactically valid and semantically faithful end-to-end user-interface test scripts directly from natural-language user stories. The motivation was the persistent quality-assurance bottleneck in modern software teams, where manual authoring and maintenance of end-to-end test scripts consumes disproportionate engineering effort relative to the value delivered. Eight phases of work were undertaken to answer this question: a curated, framework-balanced dataset of 279 Jira-style user stories was constructed and validated; two commercial large language models were evaluated as zero-shot reference systems; two open-weight models, Phi-3 Mini and Gemma 4 E4B, were adapted through QLoRA parameter-efficient fine-tuning into framework-isolated adapters for Cypress and Playwright; a Build–Measure–Assess–Decide agentic correction loop was implemented to iteratively refine generated scripts against a composite quality threshold; and a comprehensive statistical evaluation was carried out comparing all eight resulting systems on the complete held-out dataset.</w:t>
      </w:r>
    </w:p>
    <w:p>
      <w:pPr>
        <w:spacing w:after="160" w:line="276"/>
        <w:jc w:val="both"/>
      </w:pPr>
      <w:r>
        <w:rPr>
          <w:rFonts w:ascii="Times New Roman" w:cs="Times New Roman" w:eastAsia="Times New Roman" w:hAnsi="Times New Roman"/>
          <w:b w:val="false"/>
          <w:bCs w:val="false"/>
          <w:i w:val="false"/>
          <w:iCs w:val="false"/>
          <w:sz w:val="24"/>
          <w:szCs w:val="24"/>
        </w:rPr>
        <w:t xml:space="preserve">The evaluation reported in Chapter 5 answers the research question in the affirmative, with three specific, statistically substantiated conclusions. First, fine-tuning produces a large and highly consistent improvement in ground-truth semantic alignment over zero-shot prompting: the ranking Gemma 4 E4B &gt; Phi-3 Mini &gt; commercial baselines holds without a single exception across both frameworks and across all sixteen functional categories in the dataset, and every one of the ten paired Wilcoxon signed-rank comparisons conducted was significant at p &lt; 10⁻²². Second, this improvement is not obtained at the expense of syntactic reliability: once evaluated on the complete dataset rather than a partial sample, fine-tuned and baseline systems are statistically indistinguishable on syntax validity (χ² = 0.00, p = 1.00). Third, the agentic correction loop itself is an effective mechanism for closing the residual gap between a first-attempt generation and an acceptable script, with the strongest configuration — Gemma 4 E4B on Cypress — reaching a 100% acceptance rate across all 279 held-out stories.</w:t>
      </w:r>
    </w:p>
    <w:p>
      <w:pPr>
        <w:spacing w:after="160" w:line="276"/>
        <w:jc w:val="both"/>
      </w:pPr>
      <w:r>
        <w:rPr>
          <w:rFonts w:ascii="Times New Roman" w:cs="Times New Roman" w:eastAsia="Times New Roman" w:hAnsi="Times New Roman"/>
          <w:b w:val="false"/>
          <w:bCs w:val="false"/>
          <w:i w:val="false"/>
          <w:iCs w:val="false"/>
          <w:sz w:val="24"/>
          <w:szCs w:val="24"/>
        </w:rPr>
        <w:t xml:space="preserve">Beyond the headline quantitative result, this work makes three further contributions that are methodological rather than purely empirical. The evaluation design pairs every one of the 279 stories across all eight systems, enabling item-level non-parametric significance testing rather than comparison of aggregate means alone — a stronger design than is typical in comparable code-generation studies, where baseline and treatment systems are often evaluated on non-identical or non-paired samples. Second, two measurement artefacts were identified and corrected during the course of the evaluation itself: an unstripped Markdown code fence that had suppressed Claude Haiku's apparent Playwright syntax-validity score by more than thirty percentage points, and an incomplete-dataset sample that had made fine-tuned syntax reliability appear to lag baseline reliability by a statistically significant margin, a gap that closed entirely once the full 279-story dataset was scored. Both corrections are reported transparently in Chapter 5 rather than silently absorbed into the final figures, illustrating a broader methodological point for automated code-generation research: an unexpected per-system result should be treated as a candidate measurement artefact and investigated before it is accepted as a genuine finding. Third, the category-level analysis in Section 5.7 demonstrates that a lexical-overlap metric such as ROUGE-L can systematically understate model quality in categories whose reference scripts rely on idiosyncratic, non-derivable naming conventions, a qualification that should inform how future work in this area interprets ROUGE-L-based comparisons.</w:t>
      </w:r>
    </w:p>
    <w:p>
      <w:pPr>
        <w:pStyle w:val="Heading1"/>
        <w:spacing w:after="200" w:before="360"/>
      </w:pPr>
      <w:r>
        <w:rPr>
          <w:rFonts w:ascii="Times New Roman" w:cs="Times New Roman" w:eastAsia="Times New Roman" w:hAnsi="Times New Roman"/>
          <w:b/>
          <w:bCs/>
          <w:sz w:val="28"/>
          <w:szCs w:val="28"/>
        </w:rPr>
        <w:t xml:space="preserve">6.2 Limitations</w:t>
      </w:r>
    </w:p>
    <w:p>
      <w:pPr>
        <w:spacing w:after="160" w:line="276"/>
        <w:jc w:val="both"/>
      </w:pPr>
      <w:r>
        <w:rPr>
          <w:rFonts w:ascii="Times New Roman" w:cs="Times New Roman" w:eastAsia="Times New Roman" w:hAnsi="Times New Roman"/>
          <w:b w:val="false"/>
          <w:bCs w:val="false"/>
          <w:i w:val="false"/>
          <w:iCs w:val="false"/>
          <w:sz w:val="24"/>
          <w:szCs w:val="24"/>
        </w:rPr>
        <w:t xml:space="preserve">Several limitations qualify the scope of the conclusions reported above and should be considered when generalising the findings beyond the conditions under which this study was conducted.</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Dataset scale and provenance. The 279-story dataset, while balanced across sixteen functional categories and three complexity levels, is a single synthetically constructed corpus rather than a sample of user stories drawn from an operating production backlog. Although its scale is consistent with established parameter-efficient fine-tuning practice for LoRA-style adapters, a larger and organisationally diverse dataset would strengthen claims of generalisability to arbitrary real-world Jira tickets.</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Framework coverage. Evaluation is restricted to Cypress and Playwright, the two most widely adopted browser-based end-to-end testing frameworks at the time of this study. The findings do not directly extend to other test automation paradigms such as Selenium WebDriver, native mobile frameworks such as Appium, or API-level contract testing, each of which carries a different syntactic and semantic profile.</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Model scale. Both fine-tuned base models — Phi-3 Mini and Gemma 4 E4B — were selected in part for their feasibility on Apple Silicon hardware operating under a 48 GB unified-memory budget. Larger open-weight or proprietary models may exhibit different fine-tuning dynamics and zero-shot baseline quality; the results reported here should be read as evidence for models in this parameter range, not as an upper bound on what fine-tuning can achieve at larger scale.</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Single fine-tuning run per configuration. Each of the four adapters was trained once to convergence rather than across multiple random seeds. Training-run-to-training-run variance was therefore not quantified, and the reported accept rates and ROUGE-L scores reflect one instantiation of each adapter rather than a distribution over repeated training runs.</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Token-budget-bound rejections. A minority of Phi-3 Mini rejections, most visible on Playwright, were attributable to the generation token ceiling being insufficient for unusually long reference scripts even after the correction loop's automatic escalation. This is a configuration limit of the present loop rather than evidence of a structural incapacity in the model, but it does mean the reported accept rates slightly understate what a more generous or adaptively sized token budget could achieve.</w:t>
      </w:r>
    </w:p>
    <w:p>
      <w:pPr>
        <w:pStyle w:val="ListParagraph"/>
        <w:numPr>
          <w:ilvl w:val="0"/>
          <w:numId w:val="{bullet-list-0}"/>
        </w:numPr>
        <w:spacing w:after="120" w:line="276"/>
        <w:jc w:val="both"/>
      </w:pPr>
      <w:r>
        <w:rPr>
          <w:rFonts w:ascii="Times New Roman" w:cs="Times New Roman" w:eastAsia="Times New Roman" w:hAnsi="Times New Roman"/>
          <w:sz w:val="24"/>
          <w:szCs w:val="24"/>
        </w:rPr>
        <w:t xml:space="preserve">Metric-based rather than execution-based validation. Quality was assessed through static syntax checking and lexical similarity to a reference script; no generated script was executed against a live application under test. A script can therefore be judged syntactically valid and lexically close to the reference while still failing at runtime — for example, if a selector it references does not exist in the target application's actual DOM. This is discussed further as a priority direction for future work below.</w:t>
      </w:r>
    </w:p>
    <w:p>
      <w:pPr>
        <w:pStyle w:val="Heading1"/>
        <w:spacing w:after="200" w:before="360"/>
      </w:pPr>
      <w:r>
        <w:rPr>
          <w:rFonts w:ascii="Times New Roman" w:cs="Times New Roman" w:eastAsia="Times New Roman" w:hAnsi="Times New Roman"/>
          <w:b/>
          <w:bCs/>
          <w:sz w:val="28"/>
          <w:szCs w:val="28"/>
        </w:rPr>
        <w:t xml:space="preserve">6.3 Future Work</w:t>
      </w:r>
    </w:p>
    <w:p>
      <w:pPr>
        <w:spacing w:after="160" w:line="276"/>
        <w:jc w:val="both"/>
      </w:pPr>
      <w:r>
        <w:rPr>
          <w:rFonts w:ascii="Times New Roman" w:cs="Times New Roman" w:eastAsia="Times New Roman" w:hAnsi="Times New Roman"/>
          <w:b w:val="false"/>
          <w:bCs w:val="false"/>
          <w:i w:val="false"/>
          <w:iCs w:val="false"/>
          <w:sz w:val="24"/>
          <w:szCs w:val="24"/>
        </w:rPr>
        <w:t xml:space="preserve">The limitations identified above translate directly into concrete directions for extending this research.</w:t>
      </w:r>
    </w:p>
    <w:p>
      <w:pPr>
        <w:pStyle w:val="Heading2"/>
        <w:spacing w:after="140" w:before="260"/>
      </w:pPr>
      <w:r>
        <w:rPr>
          <w:rFonts w:ascii="Times New Roman" w:cs="Times New Roman" w:eastAsia="Times New Roman" w:hAnsi="Times New Roman"/>
          <w:b/>
          <w:bCs/>
          <w:sz w:val="24"/>
          <w:szCs w:val="24"/>
        </w:rPr>
        <w:t xml:space="preserve">6.3.1 Execution-Based Validation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most consequential extension is to move beyond static and lexical evaluation toward execution-based validation: running each generated script against a live or containerised instance of the target application and recording pass, fail, or runtime-error outcomes. This would close the remaining gap between “the script looks correct” and “the script actually verifies the intended behaviour,” and would allow the BMAD loop's Measure stage to incorporate a genuine functional-correctness signal alongside the current static heuristics. A natural implementation path is a sandboxed headless-browser execution stage inserted between the current syntax check and the composite-score computation, feeding pass/fail outcomes back as an additional term in the acceptance threshold.</w:t>
      </w:r>
    </w:p>
    <w:p>
      <w:pPr>
        <w:pStyle w:val="Heading2"/>
        <w:spacing w:after="140" w:before="260"/>
      </w:pPr>
      <w:r>
        <w:rPr>
          <w:rFonts w:ascii="Times New Roman" w:cs="Times New Roman" w:eastAsia="Times New Roman" w:hAnsi="Times New Roman"/>
          <w:b/>
          <w:bCs/>
          <w:sz w:val="24"/>
          <w:szCs w:val="24"/>
        </w:rPr>
        <w:t xml:space="preserve">6.3.2 Human Evaluation</w:t>
      </w:r>
    </w:p>
    <w:p>
      <w:pPr>
        <w:spacing w:after="160" w:line="276"/>
        <w:jc w:val="both"/>
      </w:pPr>
      <w:r>
        <w:rPr>
          <w:rFonts w:ascii="Times New Roman" w:cs="Times New Roman" w:eastAsia="Times New Roman" w:hAnsi="Times New Roman"/>
          <w:b w:val="false"/>
          <w:bCs w:val="false"/>
          <w:i w:val="false"/>
          <w:iCs w:val="false"/>
          <w:sz w:val="24"/>
          <w:szCs w:val="24"/>
        </w:rPr>
        <w:t xml:space="preserve">A structured human evaluation, in which practising QA engineers rate a sample of generated scripts for readability, maintainability, and fitness for direct use in a real codebase, would complement the automated metrics used in this dissertation. ROUGE-L and token-F1 capture surface similarity to a reference implementation but cannot assess whether an engineer would accept a generated script into a pull request with minimal edits — a criterion that ultimately determines the practical value of the system studied here.</w:t>
      </w:r>
    </w:p>
    <w:p>
      <w:pPr>
        <w:pStyle w:val="Heading2"/>
        <w:spacing w:after="140" w:before="260"/>
      </w:pPr>
      <w:r>
        <w:rPr>
          <w:rFonts w:ascii="Times New Roman" w:cs="Times New Roman" w:eastAsia="Times New Roman" w:hAnsi="Times New Roman"/>
          <w:b/>
          <w:bCs/>
          <w:sz w:val="24"/>
          <w:szCs w:val="24"/>
        </w:rPr>
        <w:t xml:space="preserve">6.3.3 Broader Framework and Domain Coverage</w:t>
      </w:r>
    </w:p>
    <w:p>
      <w:pPr>
        <w:spacing w:after="160" w:line="276"/>
        <w:jc w:val="both"/>
      </w:pPr>
      <w:r>
        <w:rPr>
          <w:rFonts w:ascii="Times New Roman" w:cs="Times New Roman" w:eastAsia="Times New Roman" w:hAnsi="Times New Roman"/>
          <w:b w:val="false"/>
          <w:bCs w:val="false"/>
          <w:i w:val="false"/>
          <w:iCs w:val="false"/>
          <w:sz w:val="24"/>
          <w:szCs w:val="24"/>
        </w:rPr>
        <w:t xml:space="preserve">Extending the framework-isolated fine-tuning methodology used here to Selenium WebDriver, Appium-based mobile test automation, and API-level contract testing frameworks such as Postman or REST Assured would test whether the observed fine-tuning advantage generalises beyond browser-based UI testing, and would allow a single organisation's full test-automation surface to be addressed by variants of the same agentic loop.</w:t>
      </w:r>
    </w:p>
    <w:p>
      <w:pPr>
        <w:pStyle w:val="Heading2"/>
        <w:spacing w:after="140" w:before="260"/>
      </w:pPr>
      <w:r>
        <w:rPr>
          <w:rFonts w:ascii="Times New Roman" w:cs="Times New Roman" w:eastAsia="Times New Roman" w:hAnsi="Times New Roman"/>
          <w:b/>
          <w:bCs/>
          <w:sz w:val="24"/>
          <w:szCs w:val="24"/>
        </w:rPr>
        <w:t xml:space="preserve">6.3.4 Larger-Scale and Multi-Seed Training</w:t>
      </w:r>
    </w:p>
    <w:p>
      <w:pPr>
        <w:spacing w:after="160" w:line="276"/>
        <w:jc w:val="both"/>
      </w:pPr>
      <w:r>
        <w:rPr>
          <w:rFonts w:ascii="Times New Roman" w:cs="Times New Roman" w:eastAsia="Times New Roman" w:hAnsi="Times New Roman"/>
          <w:b w:val="false"/>
          <w:bCs w:val="false"/>
          <w:i w:val="false"/>
          <w:iCs w:val="false"/>
          <w:sz w:val="24"/>
          <w:szCs w:val="24"/>
        </w:rPr>
        <w:t xml:space="preserve">Repeating the QLoRA fine-tuning procedure across multiple random seeds per adapter would quantify training-run variance and strengthen the statistical claims made in Chapter 5. Scaling the dataset beyond 279 stories per framework, and sourcing a portion of it from real, anonymised production backlogs rather than synthetic generation, would additionally test whether the fine-tuning gains reported here persist on more heterogeneous and less internally consistent user-story phrasing.</w:t>
      </w:r>
    </w:p>
    <w:p>
      <w:pPr>
        <w:pStyle w:val="Heading2"/>
        <w:spacing w:after="140" w:before="260"/>
      </w:pPr>
      <w:r>
        <w:rPr>
          <w:rFonts w:ascii="Times New Roman" w:cs="Times New Roman" w:eastAsia="Times New Roman" w:hAnsi="Times New Roman"/>
          <w:b/>
          <w:bCs/>
          <w:sz w:val="24"/>
          <w:szCs w:val="24"/>
        </w:rPr>
        <w:t xml:space="preserve">6.3.5 Adaptive Token Budgeting</w:t>
      </w:r>
    </w:p>
    <w:p>
      <w:pPr>
        <w:spacing w:after="160" w:line="276"/>
        <w:jc w:val="both"/>
      </w:pPr>
      <w:r>
        <w:rPr>
          <w:rFonts w:ascii="Times New Roman" w:cs="Times New Roman" w:eastAsia="Times New Roman" w:hAnsi="Times New Roman"/>
          <w:b w:val="false"/>
          <w:bCs w:val="false"/>
          <w:i w:val="false"/>
          <w:iCs w:val="false"/>
          <w:sz w:val="24"/>
          <w:szCs w:val="24"/>
        </w:rPr>
        <w:t xml:space="preserve">The token-budget-bound rejections identified in Section 6.2 could be addressed directly by predicting an appropriate generation length from the user story's category and complexity label before the first generation attempt, rather than escalating the token ceiling reactively only after a truncated first attempt — a refinement that would likely narrow the residual accept-rate gap between Phi-3 Mini and Gemma 4 E4B on Playwright.</w:t>
      </w:r>
    </w:p>
    <w:p>
      <w:pPr>
        <w:pStyle w:val="Heading2"/>
        <w:spacing w:after="140" w:before="260"/>
      </w:pPr>
      <w:r>
        <w:rPr>
          <w:rFonts w:ascii="Times New Roman" w:cs="Times New Roman" w:eastAsia="Times New Roman" w:hAnsi="Times New Roman"/>
          <w:b/>
          <w:bCs/>
          <w:sz w:val="24"/>
          <w:szCs w:val="24"/>
        </w:rPr>
        <w:t xml:space="preserve">6.3.6 Multi-Agent Specialisation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current architecture applies a single agentic loop uniformly across all categories of user story. A natural extension is to decompose the loop into specialised sub-agents — for instance, a dedicated agent for accessibility-focused assertions, or one specialised in responsive-design viewport handling, the category identified in Chapter 5 as the most metric-sensitive — coordinated by a routing mechanism that dispatches each incoming story to the most appropriate specialist before the shared Build–Measure–Assess–Decide cycle proceeds.</w:t>
      </w:r>
    </w:p>
    <w:p>
      <w:pPr>
        <w:pStyle w:val="Heading1"/>
        <w:spacing w:after="200" w:before="360"/>
      </w:pPr>
      <w:r>
        <w:rPr>
          <w:rFonts w:ascii="Times New Roman" w:cs="Times New Roman" w:eastAsia="Times New Roman" w:hAnsi="Times New Roman"/>
          <w:b/>
          <w:bCs/>
          <w:sz w:val="28"/>
          <w:szCs w:val="28"/>
        </w:rPr>
        <w:t xml:space="preserve">6.4 Concluding Remarks</w:t>
      </w:r>
    </w:p>
    <w:p>
      <w:pPr>
        <w:spacing w:after="160" w:line="276"/>
        <w:jc w:val="both"/>
      </w:pPr>
      <w:r>
        <w:rPr>
          <w:rFonts w:ascii="Times New Roman" w:cs="Times New Roman" w:eastAsia="Times New Roman" w:hAnsi="Times New Roman"/>
          <w:b w:val="false"/>
          <w:bCs w:val="false"/>
          <w:i w:val="false"/>
          <w:iCs w:val="false"/>
          <w:sz w:val="24"/>
          <w:szCs w:val="24"/>
        </w:rPr>
        <w:t xml:space="preserve">Taken as a whole, this dissertation provides statistically robust evidence that parameter-efficient fine-tuning, combined with an agentic self-correction loop, can substantially improve an open-weight language model's ability to translate natural-language user stories into usable end-to-end test scripts, without sacrificing syntactic reliability relative to considerably larger zero-shot commercial systems. The scale of the improvement, its consistency across every category and framework tested, and the rigour with which measurement artefacts were identified and corrected during the evaluation process together support the conclusion that this is a genuine and practically meaningful effect rather than an outcome of favourable aggregation. The limitations and future directions identified in this chapter define a clear path by which the present findings could be extended toward a system suitable for evaluation in an operating software delivery pipeline.</w:t>
      </w:r>
    </w:p>
    <w:p>
      <w:r>
        <w:br w:type="page"/>
      </w:r>
    </w:p>
    <w:p>
      <w:pPr>
        <w:pStyle w:val="Heading1"/>
        <w:spacing w:after="200" w:before="0"/>
        <w:jc w:val="center"/>
      </w:pPr>
      <w:r>
        <w:rPr>
          <w:rFonts w:ascii="Times New Roman" w:cs="Times New Roman" w:eastAsia="Times New Roman" w:hAnsi="Times New Roman"/>
          <w:b/>
          <w:bCs/>
          <w:sz w:val="28"/>
          <w:szCs w:val="28"/>
        </w:rPr>
        <w:t xml:space="preserve">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Abbreviation</w:t>
            </w:r>
          </w:p>
        </w:tc>
        <w:tc>
          <w:tcPr>
            <w:tcW w:type="dxa" w:w="6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Full Form</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AI</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Artificial Intelligence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ANOVA</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Analysis of Variance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API</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 Programming Interface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bfloat16</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Brain Floating Point 16</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BMAD</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Build, Measure, Assess, Decide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CI/CD</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Continuous Integration / Continuous Delivery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CRUD</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Create, Read, Update, Delete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CUDA</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Compute Unified Device Architecture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E2E</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End-to-End</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Eval Token Acc.</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Evaluation Token Accuracy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F1</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F1 Score (harmonic mean of precision and recall)</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fp16</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16-bit Floating Point</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GPT</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Generative Pre-trained Transformer</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GPU</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Graphics Processing Unit</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HTTP</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Hypertext Transfer Protocol</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JSON</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JavaScript Object Notation</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JSONL</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JSON Lines (newline-delimited JSON)</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LLM</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Large Language Model</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LoRA</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Low-Rank Adaptation</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ML</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Machine Learning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MPS</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Metal Performance Shaders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NLP</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Natural Language Processing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PEFT</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Parameter-Efficient Fine-Tuning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QA</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Quality Assurance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QLoRA</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Quantised Low-Rank Adaptation</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ROUGE-L</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Recall-Oriented Understudy for Gisting Evaluation – Longest Common Subsequence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SFT</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Supervised Fine-Tuning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Test Case (per-record result identifier, e.g. TC_001)</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TRL</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Transformer Reinforcement Learning (HuggingFace library)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UI</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 Interface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WILP</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Work Integrated Learning Programme</w:t>
            </w:r>
          </w:p>
        </w:tc>
      </w:tr>
    </w:tbl>
    <w:p>
      <w:r>
        <w:br w:type="page"/>
      </w:r>
    </w:p>
    <w:p>
      <w:pPr>
        <w:pStyle w:val="Heading1"/>
        <w:spacing w:after="200" w:before="0"/>
        <w:jc w:val="center"/>
      </w:pPr>
      <w:r>
        <w:rPr>
          <w:rFonts w:ascii="Times New Roman" w:cs="Times New Roman" w:eastAsia="Times New Roman" w:hAnsi="Times New Roman"/>
          <w:b/>
          <w:bCs/>
          <w:sz w:val="28"/>
          <w:szCs w:val="28"/>
        </w:rPr>
        <w:t xml:space="preserve">REFERENCES</w:t>
      </w:r>
    </w:p>
    <w:p>
      <w:pPr>
        <w:spacing w:after="140" w:line="276"/>
        <w:jc w:val="left"/>
      </w:pPr>
      <w:r>
        <w:rPr>
          <w:rFonts w:ascii="Times New Roman" w:cs="Times New Roman" w:eastAsia="Times New Roman" w:hAnsi="Times New Roman"/>
          <w:b w:val="false"/>
          <w:bCs w:val="false"/>
          <w:i w:val="false"/>
          <w:iCs w:val="false"/>
          <w:sz w:val="24"/>
          <w:szCs w:val="24"/>
        </w:rPr>
        <w:t xml:space="preserve">[1] M. Chen et al., “Evaluating Large Language Models Trained on Code,” arXiv:2107.03374, 2021.</w:t>
      </w:r>
    </w:p>
    <w:p>
      <w:pPr>
        <w:spacing w:after="140" w:line="276"/>
        <w:jc w:val="left"/>
      </w:pPr>
      <w:r>
        <w:rPr>
          <w:rFonts w:ascii="Times New Roman" w:cs="Times New Roman" w:eastAsia="Times New Roman" w:hAnsi="Times New Roman"/>
          <w:b w:val="false"/>
          <w:bCs w:val="false"/>
          <w:i w:val="false"/>
          <w:iCs w:val="false"/>
          <w:sz w:val="24"/>
          <w:szCs w:val="24"/>
        </w:rPr>
        <w:t xml:space="preserve">[2] J. Austin et al., “Program Synthesis with Large Language Models,” arXiv:2108.07732, 2021.</w:t>
      </w:r>
    </w:p>
    <w:p>
      <w:pPr>
        <w:spacing w:after="140" w:line="276"/>
        <w:jc w:val="left"/>
      </w:pPr>
      <w:r>
        <w:rPr>
          <w:rFonts w:ascii="Times New Roman" w:cs="Times New Roman" w:eastAsia="Times New Roman" w:hAnsi="Times New Roman"/>
          <w:b w:val="false"/>
          <w:bCs w:val="false"/>
          <w:i w:val="false"/>
          <w:iCs w:val="false"/>
          <w:sz w:val="24"/>
          <w:szCs w:val="24"/>
        </w:rPr>
        <w:t xml:space="preserve">[3] Z. Liu et al., “Is Your Code Generated by ChatGPT Really Correct? Rigorous Evaluation of Large Language Models for Code Generation,” NeurIPS, 2023.</w:t>
      </w:r>
    </w:p>
    <w:p>
      <w:pPr>
        <w:spacing w:after="140" w:line="276"/>
        <w:jc w:val="left"/>
      </w:pPr>
      <w:r>
        <w:rPr>
          <w:rFonts w:ascii="Times New Roman" w:cs="Times New Roman" w:eastAsia="Times New Roman" w:hAnsi="Times New Roman"/>
          <w:b w:val="false"/>
          <w:bCs w:val="false"/>
          <w:i w:val="false"/>
          <w:iCs w:val="false"/>
          <w:sz w:val="24"/>
          <w:szCs w:val="24"/>
        </w:rPr>
        <w:t xml:space="preserve">[4] R. Li et al., “StarCoder: May the Source Be with You!” arXiv:2305.06161, 2023.</w:t>
      </w:r>
    </w:p>
    <w:p>
      <w:pPr>
        <w:spacing w:after="140" w:line="276"/>
        <w:jc w:val="left"/>
      </w:pPr>
      <w:r>
        <w:rPr>
          <w:rFonts w:ascii="Times New Roman" w:cs="Times New Roman" w:eastAsia="Times New Roman" w:hAnsi="Times New Roman"/>
          <w:b w:val="false"/>
          <w:bCs w:val="false"/>
          <w:i w:val="false"/>
          <w:iCs w:val="false"/>
          <w:sz w:val="24"/>
          <w:szCs w:val="24"/>
        </w:rPr>
        <w:t xml:space="preserve">[5] D. Guo et al., “DeepSeek-Coder: When the Large Language Model Meets Programming,” arXiv:2401.14196, 2024.</w:t>
      </w:r>
    </w:p>
    <w:p>
      <w:pPr>
        <w:spacing w:after="140" w:line="276"/>
        <w:jc w:val="left"/>
      </w:pPr>
      <w:r>
        <w:rPr>
          <w:rFonts w:ascii="Times New Roman" w:cs="Times New Roman" w:eastAsia="Times New Roman" w:hAnsi="Times New Roman"/>
          <w:b w:val="false"/>
          <w:bCs w:val="false"/>
          <w:i w:val="false"/>
          <w:iCs w:val="false"/>
          <w:sz w:val="24"/>
          <w:szCs w:val="24"/>
        </w:rPr>
        <w:t xml:space="preserve">[6] E. J. Hu et al., “LoRA: Low-Rank Adaptation of Large Language Models,” ICLR, 2022.</w:t>
      </w:r>
    </w:p>
    <w:p>
      <w:pPr>
        <w:spacing w:after="140" w:line="276"/>
        <w:jc w:val="left"/>
      </w:pPr>
      <w:r>
        <w:rPr>
          <w:rFonts w:ascii="Times New Roman" w:cs="Times New Roman" w:eastAsia="Times New Roman" w:hAnsi="Times New Roman"/>
          <w:b w:val="false"/>
          <w:bCs w:val="false"/>
          <w:i w:val="false"/>
          <w:iCs w:val="false"/>
          <w:sz w:val="24"/>
          <w:szCs w:val="24"/>
        </w:rPr>
        <w:t xml:space="preserve">[7] T. Dettmers et al., “QLoRA: Efficient Finetuning of Quantized LLMs,” NeurIPS, 2023.</w:t>
      </w:r>
    </w:p>
    <w:p>
      <w:pPr>
        <w:spacing w:after="140" w:line="276"/>
        <w:jc w:val="left"/>
      </w:pPr>
      <w:r>
        <w:rPr>
          <w:rFonts w:ascii="Times New Roman" w:cs="Times New Roman" w:eastAsia="Times New Roman" w:hAnsi="Times New Roman"/>
          <w:b w:val="false"/>
          <w:bCs w:val="false"/>
          <w:i w:val="false"/>
          <w:iCs w:val="false"/>
          <w:sz w:val="24"/>
          <w:szCs w:val="24"/>
        </w:rPr>
        <w:t xml:space="preserve">[8] S. Yao et al., “ReAct: Synergizing Reasoning and Acting in Language Models,” ICLR, 2023.</w:t>
      </w:r>
    </w:p>
    <w:p>
      <w:pPr>
        <w:spacing w:after="140" w:line="276"/>
        <w:jc w:val="left"/>
      </w:pPr>
      <w:r>
        <w:rPr>
          <w:rFonts w:ascii="Times New Roman" w:cs="Times New Roman" w:eastAsia="Times New Roman" w:hAnsi="Times New Roman"/>
          <w:b w:val="false"/>
          <w:bCs w:val="false"/>
          <w:i w:val="false"/>
          <w:iCs w:val="false"/>
          <w:sz w:val="24"/>
          <w:szCs w:val="24"/>
        </w:rPr>
        <w:t xml:space="preserve">[9] Q. Wang et al., “AutoGen: Enabling Next-Gen LLM Applications via Multi-Agent Conversation,” arXiv:2308.08155, 2023.</w:t>
      </w:r>
    </w:p>
    <w:p>
      <w:pPr>
        <w:spacing w:after="140" w:line="276"/>
        <w:jc w:val="left"/>
      </w:pPr>
      <w:r>
        <w:rPr>
          <w:rFonts w:ascii="Times New Roman" w:cs="Times New Roman" w:eastAsia="Times New Roman" w:hAnsi="Times New Roman"/>
          <w:b w:val="false"/>
          <w:bCs w:val="false"/>
          <w:i w:val="false"/>
          <w:iCs w:val="false"/>
          <w:sz w:val="24"/>
          <w:szCs w:val="24"/>
        </w:rPr>
        <w:t xml:space="preserve">[10] N. Shinn et al., “Reflexion: Language Agents with Verbal Reinforcement Learning,” NeurIPS, 2023.</w:t>
      </w:r>
    </w:p>
    <w:p>
      <w:pPr>
        <w:spacing w:after="140" w:line="276"/>
        <w:jc w:val="left"/>
      </w:pPr>
      <w:r>
        <w:rPr>
          <w:rFonts w:ascii="Times New Roman" w:cs="Times New Roman" w:eastAsia="Times New Roman" w:hAnsi="Times New Roman"/>
          <w:b w:val="false"/>
          <w:bCs w:val="false"/>
          <w:i w:val="false"/>
          <w:iCs w:val="false"/>
          <w:sz w:val="24"/>
          <w:szCs w:val="24"/>
        </w:rPr>
        <w:t xml:space="preserve">[11] G. J. Myers, C. Sandler, and T. Badgett, The Art of Software Testing, 3rd ed. Hoboken, NJ: Wiley, 2011.</w:t>
      </w:r>
    </w:p>
    <w:p>
      <w:pPr>
        <w:spacing w:after="140" w:line="276"/>
        <w:jc w:val="left"/>
      </w:pPr>
      <w:r>
        <w:rPr>
          <w:rFonts w:ascii="Times New Roman" w:cs="Times New Roman" w:eastAsia="Times New Roman" w:hAnsi="Times New Roman"/>
          <w:b w:val="false"/>
          <w:bCs w:val="false"/>
          <w:i w:val="false"/>
          <w:iCs w:val="false"/>
          <w:sz w:val="24"/>
          <w:szCs w:val="24"/>
        </w:rPr>
        <w:t xml:space="preserve">[12] T. B. Brown et al., “Language Models are Few-Shot Learners,” in Advances in Neural Information Processing Systems (NeurIPS), 2020.</w:t>
      </w:r>
    </w:p>
    <w:p>
      <w:pPr>
        <w:spacing w:after="140" w:line="276"/>
        <w:jc w:val="left"/>
      </w:pPr>
      <w:r>
        <w:rPr>
          <w:rFonts w:ascii="Times New Roman" w:cs="Times New Roman" w:eastAsia="Times New Roman" w:hAnsi="Times New Roman"/>
          <w:b w:val="false"/>
          <w:bCs w:val="false"/>
          <w:i w:val="false"/>
          <w:iCs w:val="false"/>
          <w:sz w:val="24"/>
          <w:szCs w:val="24"/>
        </w:rPr>
        <w:t xml:space="preserve">[13] Cypress.io, “Cypress: Fast, Easy and Reliable End-to-End Testing for Anything that Runs in a Browser,” https://www.cypress.io, 2023.</w:t>
      </w:r>
    </w:p>
    <w:p>
      <w:pPr>
        <w:spacing w:after="140" w:line="276"/>
        <w:jc w:val="left"/>
      </w:pPr>
      <w:r>
        <w:rPr>
          <w:rFonts w:ascii="Times New Roman" w:cs="Times New Roman" w:eastAsia="Times New Roman" w:hAnsi="Times New Roman"/>
          <w:b w:val="false"/>
          <w:bCs w:val="false"/>
          <w:i w:val="false"/>
          <w:iCs w:val="false"/>
          <w:sz w:val="24"/>
          <w:szCs w:val="24"/>
        </w:rPr>
        <w:t xml:space="preserve">[14] Microsoft, “Playwright: Reliable End-to-End Testing for Modern Web Apps,” https://playwright.dev, 2023.</w:t>
      </w:r>
    </w:p>
    <w:p>
      <w:pPr>
        <w:spacing w:after="140" w:line="276"/>
        <w:jc w:val="left"/>
      </w:pPr>
      <w:r>
        <w:rPr>
          <w:rFonts w:ascii="Times New Roman" w:cs="Times New Roman" w:eastAsia="Times New Roman" w:hAnsi="Times New Roman"/>
          <w:b w:val="false"/>
          <w:bCs w:val="false"/>
          <w:i w:val="false"/>
          <w:iCs w:val="false"/>
          <w:sz w:val="24"/>
          <w:szCs w:val="24"/>
        </w:rPr>
        <w:t xml:space="preserve">[15] M. Leotta, D. Clerissi, F. Ricca, and P. Tonella, “Comparing the Maintainability of Selenium WebDriver Test Suites Employing Different Design Patterns,” in Proc. 2013 Int. Workshop on Joining AcadeMiA and Industry Contributions to Testing Automation (JAMIA), 2013, pp. 11–20.</w:t>
      </w:r>
    </w:p>
    <w:p>
      <w:pPr>
        <w:spacing w:after="140" w:line="276"/>
        <w:jc w:val="left"/>
      </w:pPr>
      <w:r>
        <w:rPr>
          <w:rFonts w:ascii="Times New Roman" w:cs="Times New Roman" w:eastAsia="Times New Roman" w:hAnsi="Times New Roman"/>
          <w:b w:val="false"/>
          <w:bCs w:val="false"/>
          <w:i w:val="false"/>
          <w:iCs w:val="false"/>
          <w:sz w:val="24"/>
          <w:szCs w:val="24"/>
        </w:rPr>
        <w:t xml:space="preserve">[16] Anthropic, “Claude Haiku (claude-haiku-4-5),” Anthropic, San Francisco, CA, 2024. [Online]. Available: https://www.anthropic.com/claude</w:t>
      </w:r>
    </w:p>
    <w:p>
      <w:pPr>
        <w:spacing w:after="140" w:line="276"/>
        <w:jc w:val="left"/>
      </w:pPr>
      <w:r>
        <w:rPr>
          <w:rFonts w:ascii="Times New Roman" w:cs="Times New Roman" w:eastAsia="Times New Roman" w:hAnsi="Times New Roman"/>
          <w:b w:val="false"/>
          <w:bCs w:val="false"/>
          <w:i w:val="false"/>
          <w:iCs w:val="false"/>
          <w:sz w:val="24"/>
          <w:szCs w:val="24"/>
        </w:rPr>
        <w:t xml:space="preserve">[17] OpenAI, “GPT-4o mini,” OpenAI, San Francisco, CA, 2024. [Online]. Available: https://openai.com/index/gpt-4o-mini-advancing-cost-efficient-intelligence/</w:t>
      </w:r>
    </w:p>
    <w:p>
      <w:pPr>
        <w:spacing w:after="140" w:line="276"/>
        <w:jc w:val="left"/>
      </w:pPr>
      <w:r>
        <w:rPr>
          <w:rFonts w:ascii="Times New Roman" w:cs="Times New Roman" w:eastAsia="Times New Roman" w:hAnsi="Times New Roman"/>
          <w:b w:val="false"/>
          <w:bCs w:val="false"/>
          <w:i w:val="false"/>
          <w:iCs w:val="false"/>
          <w:sz w:val="24"/>
          <w:szCs w:val="24"/>
        </w:rPr>
        <w:t xml:space="preserve">[18] C.-Y. Lin, “ROUGE: A Package for Automatic Evaluation of Summaries,” in Proc. ACL Workshop on Text Summarization Branches Out, 2004, pp. 74–81.</w:t>
      </w:r>
    </w:p>
    <w:p>
      <w:pPr>
        <w:spacing w:after="140" w:line="276"/>
        <w:jc w:val="left"/>
      </w:pPr>
      <w:r>
        <w:rPr>
          <w:rFonts w:ascii="Times New Roman" w:cs="Times New Roman" w:eastAsia="Times New Roman" w:hAnsi="Times New Roman"/>
          <w:b w:val="false"/>
          <w:bCs w:val="false"/>
          <w:i w:val="false"/>
          <w:iCs w:val="false"/>
          <w:sz w:val="24"/>
          <w:szCs w:val="24"/>
        </w:rPr>
        <w:t xml:space="preserve">[19] Google DeepMind, “Gemma 3 Technical Report,” Google DeepMind, 2025. [Online]. Available: https://ai.google.dev/gemma/docs/gemma3</w:t>
      </w:r>
    </w:p>
    <w:p>
      <w:pPr>
        <w:spacing w:after="140" w:line="276"/>
        <w:jc w:val="left"/>
      </w:pPr>
      <w:r>
        <w:rPr>
          <w:rFonts w:ascii="Times New Roman" w:cs="Times New Roman" w:eastAsia="Times New Roman" w:hAnsi="Times New Roman"/>
          <w:b w:val="false"/>
          <w:bCs w:val="false"/>
          <w:i w:val="false"/>
          <w:iCs w:val="false"/>
          <w:sz w:val="24"/>
          <w:szCs w:val="24"/>
        </w:rPr>
        <w:t xml:space="preserve">[20] T. Wolf et al., “Bfloat16: The Secret to High Performance on Cloud TPUs,” Google Brain, 2019. [Online]. Available: https://cloud.google.com/blog/products/ai-machine-learning/bfloat16-the-secret-to-high-performance-on-cloud-tpus</w:t>
      </w:r>
    </w:p>
    <w:p>
      <w:pPr>
        <w:spacing w:after="140" w:line="276"/>
        <w:jc w:val="left"/>
      </w:pPr>
      <w:r>
        <w:rPr>
          <w:rFonts w:ascii="Times New Roman" w:cs="Times New Roman" w:eastAsia="Times New Roman" w:hAnsi="Times New Roman"/>
          <w:b w:val="false"/>
          <w:bCs w:val="false"/>
          <w:i w:val="false"/>
          <w:iCs w:val="false"/>
          <w:sz w:val="24"/>
          <w:szCs w:val="24"/>
        </w:rPr>
        <w:t xml:space="preserve">[21] L. von Werra et al., “TRL: Transformer Reinforcement Learning,” GitHub, 2020. [Online]. Available: https://github.com/huggingface/trl</w:t>
      </w:r>
    </w:p>
    <w:p>
      <w:pPr>
        <w:spacing w:after="140" w:line="276"/>
        <w:jc w:val="left"/>
      </w:pPr>
      <w:r>
        <w:rPr>
          <w:rFonts w:ascii="Times New Roman" w:cs="Times New Roman" w:eastAsia="Times New Roman" w:hAnsi="Times New Roman"/>
          <w:b w:val="false"/>
          <w:bCs w:val="false"/>
          <w:i w:val="false"/>
          <w:iCs w:val="false"/>
          <w:sz w:val="24"/>
          <w:szCs w:val="24"/>
        </w:rPr>
        <w:t xml:space="preserve">[22] R. A. Fisher, The Design of Experiments, 8th ed. Edinburgh: Oliver and Boyd, 1935. (Establishes the analysis-of-variance methodology applied in Chapter 5.)</w:t>
      </w:r>
    </w:p>
    <w:p>
      <w:pPr>
        <w:spacing w:after="140" w:line="276"/>
        <w:jc w:val="left"/>
      </w:pPr>
      <w:r>
        <w:rPr>
          <w:rFonts w:ascii="Times New Roman" w:cs="Times New Roman" w:eastAsia="Times New Roman" w:hAnsi="Times New Roman"/>
          <w:b w:val="false"/>
          <w:bCs w:val="false"/>
          <w:i w:val="false"/>
          <w:iCs w:val="false"/>
          <w:sz w:val="24"/>
          <w:szCs w:val="24"/>
        </w:rPr>
        <w:t xml:space="preserve">[23] F. Wilcoxon, “Individual Comparisons by Ranking Methods,” Biometrics Bulletin, vol. 1, no. 6, pp. 80–83, 1945.</w:t>
      </w:r>
    </w:p>
    <w:p>
      <w:pPr>
        <w:spacing w:after="140" w:line="276"/>
        <w:jc w:val="left"/>
      </w:pPr>
      <w:r>
        <w:rPr>
          <w:rFonts w:ascii="Times New Roman" w:cs="Times New Roman" w:eastAsia="Times New Roman" w:hAnsi="Times New Roman"/>
          <w:b w:val="false"/>
          <w:bCs w:val="false"/>
          <w:i w:val="false"/>
          <w:iCs w:val="false"/>
          <w:sz w:val="24"/>
          <w:szCs w:val="24"/>
        </w:rPr>
        <w:t xml:space="preserve">[24] K. Pearson, “On the Criterion that a Given System of Deviations from the Probable in the Case of a Correlated System of Variables is Such that it Can be Reasonably Supposed to have Arisen from Random Sampling,” Philosophical Magazine, Series 5, vol. 50, no. 302, pp. 157–175, 1900.</w:t>
      </w:r>
    </w:p>
    <w:sectPr>
      <w:footerReference w:type="default" r:id="rId7"/>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6a5ae282c74b300aa0541b4ed29fbe71cafb8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2026-07-17T20:11:12.544Z</dcterms:created>
  <dcterms:modified xsi:type="dcterms:W3CDTF">2026-07-17T20:11:12.545Z</dcterms:modified>
</cp:coreProperties>
</file>

<file path=docProps/custom.xml><?xml version="1.0" encoding="utf-8"?>
<Properties xmlns="http://schemas.openxmlformats.org/officeDocument/2006/custom-properties" xmlns:vt="http://schemas.openxmlformats.org/officeDocument/2006/docPropsVTypes"/>
</file>