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Times New Roman" w:cs="Times New Roman" w:eastAsia="Times New Roman" w:hAnsi="Times New Roman"/>
          <w:b/>
          <w:bCs/>
          <w:sz w:val="28"/>
          <w:szCs w:val="28"/>
        </w:rPr>
        <w:t xml:space="preserve">IMPLEMENTATION</w:t>
      </w:r>
    </w:p>
    <w:p>
      <w:pPr>
        <w:spacing w:after="160" w:line="276"/>
        <w:jc w:val="both"/>
      </w:pPr>
      <w:r>
        <w:rPr>
          <w:rFonts w:ascii="Times New Roman" w:cs="Times New Roman" w:eastAsia="Times New Roman" w:hAnsi="Times New Roman"/>
          <w:b w:val="false"/>
          <w:bCs w:val="false"/>
          <w:i w:val="false"/>
          <w:iCs w:val="false"/>
          <w:sz w:val="24"/>
          <w:szCs w:val="24"/>
        </w:rPr>
        <w:t xml:space="preserve">This chapter describes how the five architectural components introduced earlier were realised in practice: the repository and development-environment organisation, the dataset and baseline pipelines, the QLoRA fine-tuning procedure, the BMAD agentic correction loop and its underlying inference mechanism, and the evaluation tooling used to produce the results reported in Chapter 7. Particular attention is given to Section 6.5, which documents both the original implementation of the agentic loop's inference layer and a subsequent architectural revision undertaken after the original design proved unreliable under sustained, unattended execution — a revision that is reported here in full because the diagnosis and correction of that unreliability is itself a substantive piece of engineering work underpinning the validity of the results in Chapter 7.</w:t>
      </w:r>
    </w:p>
    <w:p>
      <w:pPr>
        <w:pStyle w:val="Heading1"/>
        <w:spacing w:after="200" w:before="360"/>
      </w:pPr>
      <w:r>
        <w:rPr>
          <w:rFonts w:ascii="Times New Roman" w:cs="Times New Roman" w:eastAsia="Times New Roman" w:hAnsi="Times New Roman"/>
          <w:b/>
          <w:bCs/>
          <w:sz w:val="28"/>
          <w:szCs w:val="28"/>
        </w:rPr>
        <w:t xml:space="preserve">6.1 Development Environment and Repository Organisation</w:t>
      </w:r>
    </w:p>
    <w:p>
      <w:pPr>
        <w:spacing w:after="160" w:line="276"/>
        <w:jc w:val="both"/>
      </w:pPr>
      <w:r>
        <w:rPr>
          <w:rFonts w:ascii="Times New Roman" w:cs="Times New Roman" w:eastAsia="Times New Roman" w:hAnsi="Times New Roman"/>
          <w:b w:val="false"/>
          <w:bCs w:val="false"/>
          <w:i w:val="false"/>
          <w:iCs w:val="false"/>
          <w:sz w:val="24"/>
          <w:szCs w:val="24"/>
        </w:rPr>
        <w:t xml:space="preserve">Development was distributed across two machines according to computational demand. Mac A, an Apple M4 Pro with 48 GB of unified memory, hosted all locally executed model inference: QLoRA fine-tuning, the BMAD agentic loop, and the statistical evaluation. Mac B, an Intel-based machine with 16 GB of RAM and no CUDA-capable GPU, was reserved for work that depends only on network calls to external APIs rather than local model execution — principally dataset generation and the two zero-shot commercial baselines. This division reflects a deliberate architectural decision established early in the project and confirmed empirically during development: Mac B's hardware is unsuited to hosting a 3.8–4-billion-parameter transformer for repeated, low-latency inference, whereas its Intel CPU is entirely adequate for issuing HTTP requests to a commercial LLM API and storing the response.</w:t>
      </w:r>
    </w:p>
    <w:p>
      <w:pPr>
        <w:spacing w:after="160" w:line="276"/>
        <w:jc w:val="both"/>
      </w:pPr>
      <w:r>
        <w:rPr>
          <w:rFonts w:ascii="Times New Roman" w:cs="Times New Roman" w:eastAsia="Times New Roman" w:hAnsi="Times New Roman"/>
          <w:b w:val="false"/>
          <w:bCs w:val="false"/>
          <w:i w:val="false"/>
          <w:iCs w:val="false"/>
          <w:sz w:val="24"/>
          <w:szCs w:val="24"/>
        </w:rPr>
        <w:t xml:space="preserve">The codebase is organised as a single Git repository with directories corresponding to each pipeline stage — data/, baselines/, fine_tuning/, agentic_loop/, evaluation/ and results/ — and is version-controlled across four branches: main, which holds the dataset, baseline, and fine-tuning code common to all subsequent work; phase6-eval, an early implementation of the agentic loop later found to have a systemic reliability defect (Section 6.5.1) and retained for historical record rather than active use; phase6-rebuild, the corrected implementation used to produce the results in Chapter 7; and final-submission, into which phase6-rebuild has been merged as the basis for this dissertation.</w:t>
      </w:r>
    </w:p>
    <w:p>
      <w:pPr>
        <w:pStyle w:val="Heading1"/>
        <w:spacing w:after="200" w:before="360"/>
      </w:pPr>
      <w:r>
        <w:rPr>
          <w:rFonts w:ascii="Times New Roman" w:cs="Times New Roman" w:eastAsia="Times New Roman" w:hAnsi="Times New Roman"/>
          <w:b/>
          <w:bCs/>
          <w:sz w:val="28"/>
          <w:szCs w:val="28"/>
        </w:rPr>
        <w:t xml:space="preserve">6.2 Dataset Generation and Preparation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279-story dataset was produced by a generation script that synthesises Jira-style user stories paired with a Cypress and a Playwright reference script for each story, balanced across sixteen functional categories (authentication, CRUD operations, form validation, responsive design, and others) and three complexity tiers (simple, medium, complex). A separate splitting utility partitions the unified dataset into framework-isolated JSON Lines files, one containing only Cypress reference scripts and one containing only Playwright reference scripts, so that fine-tuning and baseline evaluation for a given framework never has visibility of the other framework's syntax during training or prompting.</w:t>
      </w:r>
    </w:p>
    <w:p>
      <w:pPr>
        <w:pStyle w:val="Heading1"/>
        <w:spacing w:after="200" w:before="360"/>
      </w:pPr>
      <w:r>
        <w:rPr>
          <w:rFonts w:ascii="Times New Roman" w:cs="Times New Roman" w:eastAsia="Times New Roman" w:hAnsi="Times New Roman"/>
          <w:b/>
          <w:bCs/>
          <w:sz w:val="28"/>
          <w:szCs w:val="28"/>
        </w:rPr>
        <w:t xml:space="preserve">6.3 Zero-Shot Baseline Inference</w:t>
      </w:r>
    </w:p>
    <w:p>
      <w:pPr>
        <w:spacing w:after="160" w:line="276"/>
        <w:jc w:val="both"/>
      </w:pPr>
      <w:r>
        <w:rPr>
          <w:rFonts w:ascii="Times New Roman" w:cs="Times New Roman" w:eastAsia="Times New Roman" w:hAnsi="Times New Roman"/>
          <w:b w:val="false"/>
          <w:bCs w:val="false"/>
          <w:i w:val="false"/>
          <w:iCs w:val="false"/>
          <w:sz w:val="24"/>
          <w:szCs w:val="24"/>
        </w:rPr>
        <w:t xml:space="preserve">The baseline runner issues one API request per user story to each of the two commercial models under evaluation, GPT-4o-mini and Claude Haiku, and persists the response together with prompt and completion token counts, latency, and a timestamp as an individual JSON record. A per-model, per-framework summary file records aggregate completion counts, allowing an interrupted baseline run to resume from the last completed record rather than reissuing already-completed API calls. A third candidate baseline, Gemini Flash, was evaluated for inclusion but excluded after its free-tier request quota proved insufficient for the 558 calls required across both frameworks; this decision is recorded in the codebase rather than silently omitted.</w:t>
      </w:r>
    </w:p>
    <w:p>
      <w:pPr>
        <w:pStyle w:val="Heading1"/>
        <w:spacing w:after="200" w:before="360"/>
      </w:pPr>
      <w:r>
        <w:rPr>
          <w:rFonts w:ascii="Times New Roman" w:cs="Times New Roman" w:eastAsia="Times New Roman" w:hAnsi="Times New Roman"/>
          <w:b/>
          <w:bCs/>
          <w:sz w:val="28"/>
          <w:szCs w:val="28"/>
        </w:rPr>
        <w:t xml:space="preserve">6.4 QLoRA Fine-Tuning</w:t>
      </w:r>
    </w:p>
    <w:p>
      <w:pPr>
        <w:spacing w:after="160" w:line="276"/>
        <w:jc w:val="both"/>
      </w:pPr>
      <w:r>
        <w:rPr>
          <w:rFonts w:ascii="Times New Roman" w:cs="Times New Roman" w:eastAsia="Times New Roman" w:hAnsi="Times New Roman"/>
          <w:b w:val="false"/>
          <w:bCs w:val="false"/>
          <w:i w:val="false"/>
          <w:iCs w:val="false"/>
          <w:sz w:val="24"/>
          <w:szCs w:val="24"/>
        </w:rPr>
        <w:t xml:space="preserve">Each of the four adapters — Phi-3 Mini and Gemma 4 E4B, one instance per framework — was produced by a dedicated fine-tuning script applying Low-Rank Adaptation [6] under 4-bit quantisation (QLoRA) [7] to the frozen base model, using the framework-isolated training split described in Section 6.2. Training and inference both execute on Apple Silicon through PyTorch's Metal Performance Shaders (MPS) backend, which required three specific adaptations relative to a conventional CUDA training configuration, identified during the Phase 4 diagnostic experiments reported at the mid-semester stage: the bfloat16 numeric format [20] must be used in place of float16, since PyTorch's gradient scaler silently skips optimiser steps under float16 on MPS; HuggingFace TRL's [21] completion-only masking collator produced NaN losses under certain batch configurations and required adjustment; and Python's standard output buffering must be disabled at the interpreter level to obtain real-time loss visibility during training. These adaptations, once established, reduced the iteration time for subsequent fine-tuning experiments materially, as reflected in the substantially shorter Phi-3 Mini training times reported in the mid-semester results (under one hour per framework, against 3.78 and 5.71 hours for Gemma 4 E4B).</w:t>
      </w:r>
    </w:p>
    <w:p>
      <w:pPr>
        <w:pStyle w:val="Heading1"/>
        <w:spacing w:after="200" w:before="360"/>
      </w:pPr>
      <w:r>
        <w:rPr>
          <w:rFonts w:ascii="Times New Roman" w:cs="Times New Roman" w:eastAsia="Times New Roman" w:hAnsi="Times New Roman"/>
          <w:b/>
          <w:bCs/>
          <w:sz w:val="28"/>
          <w:szCs w:val="28"/>
        </w:rPr>
        <w:t xml:space="preserve">6.5 The BMAD Agentic Correction Loop</w:t>
      </w:r>
    </w:p>
    <w:p>
      <w:pPr>
        <w:spacing w:after="160" w:line="276"/>
        <w:jc w:val="both"/>
      </w:pPr>
      <w:r>
        <w:rPr>
          <w:rFonts w:ascii="Times New Roman" w:cs="Times New Roman" w:eastAsia="Times New Roman" w:hAnsi="Times New Roman"/>
          <w:b w:val="false"/>
          <w:bCs w:val="false"/>
          <w:i w:val="false"/>
          <w:iCs w:val="false"/>
          <w:sz w:val="24"/>
          <w:szCs w:val="24"/>
        </w:rPr>
        <w:t xml:space="preserve">The agentic loop is the central engineering artefact of this dissertation. It implements a Build–Measure–Assess–Decide cycle: for a given user story, the Build step generates a candidate script from the appropriate fine-tuned adapter; the Measure step scores the candidate against a composite quality rubric; the Assess step compares that score to an acceptance threshold; and, if the threshold is not met, the Decide step constructs targeted corrective feedback and returns control to Build for a further attempt, up to a configurable maximum of three iterations, after which the best-scoring candidate across all attempts is retained regardless of whether it cleared the threshold.</w:t>
      </w:r>
    </w:p>
    <w:p>
      <w:pPr>
        <w:pStyle w:val="Heading2"/>
        <w:spacing w:after="140" w:before="260"/>
      </w:pPr>
      <w:r>
        <w:rPr>
          <w:rFonts w:ascii="Times New Roman" w:cs="Times New Roman" w:eastAsia="Times New Roman" w:hAnsi="Times New Roman"/>
          <w:b/>
          <w:bCs/>
          <w:sz w:val="24"/>
          <w:szCs w:val="24"/>
        </w:rPr>
        <w:t xml:space="preserve">6.5.1 Original Implementation and Its Failure Modes</w:t>
      </w:r>
    </w:p>
    <w:p>
      <w:pPr>
        <w:spacing w:after="160" w:line="276"/>
        <w:jc w:val="both"/>
      </w:pPr>
      <w:r>
        <w:rPr>
          <w:rFonts w:ascii="Times New Roman" w:cs="Times New Roman" w:eastAsia="Times New Roman" w:hAnsi="Times New Roman"/>
          <w:b w:val="false"/>
          <w:bCs w:val="false"/>
          <w:i w:val="false"/>
          <w:iCs w:val="false"/>
          <w:sz w:val="24"/>
          <w:szCs w:val="24"/>
        </w:rPr>
        <w:t xml:space="preserve">The loop was first implemented as two separate processes communicating over HTTP: a FastAPI/uvicorn inference server that loaded a fine-tuned adapter and exposed a single generation endpoint on a local port, and a client process implementing the Build–Measure–Assess–Decide logic that issued one HTTP request per generation attempt. This separation is a conventional and reasonable design for a service intended to handle concurrent external callers; however, subjecting it to sustained, unattended execution across the full 279-story dataset for all four adapters — a workload spanning tens of continuous hours per adapter — exposed four distinct reliability defects, each diagnosed and corrected in turn.</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A port-binding conflict: a previous inference-server process that had not been fully terminated continued to hold the local port, so a fresh server process for the next model/framework combination failed to bind while the orchestration script's health check nonetheless reported the (stale) server as healthy, causing a subsequent generation combination to run against the wrong model without failing loudly.</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Read-timeout failures under memory pressure: when overall system memory pressure was high, individual generation calls occasionally exceeded the client's request timeout even though the server process was still alive, and this exception type had not been included in the client's retry-on-failure logic, so a single slow response terminated the entire multi-hour run.</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An incorrect exception reference in the retry-handling code itself: the client's connection-retry logic referenced an exception class that does not exist in the networking library in use, so on the one occasion a genuine dropped connection occurred, the retry mechanism intended to handle it raised a second, unrelated error and crashed rather than retrying.</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A defect introduced while fixing a memory-growth issue: an interim mitigation for gradual memory growth in the long-lived server process (Section 6.5.2) itself contained a variable-scoping error that caused every subsequent request to fail; this was caught by validating the fix against a live request before redeploying it, rather than relying on a syntax check alone, and is recorded here as an example of why runtime verification, not just static verification, was adopted as standard practice for the remainder of the implementation.</w:t>
      </w:r>
    </w:p>
    <w:p>
      <w:pPr>
        <w:spacing w:after="160" w:line="276"/>
        <w:jc w:val="both"/>
      </w:pPr>
      <w:r>
        <w:rPr>
          <w:rFonts w:ascii="Times New Roman" w:cs="Times New Roman" w:eastAsia="Times New Roman" w:hAnsi="Times New Roman"/>
          <w:b w:val="false"/>
          <w:bCs w:val="false"/>
          <w:i w:val="false"/>
          <w:iCs w:val="false"/>
          <w:sz w:val="24"/>
          <w:szCs w:val="24"/>
        </w:rPr>
        <w:t xml:space="preserve">Each of these defects shares a common root cause: the HTTP boundary between the correction loop and the model introduced a class of failure — connection state, timeouts, port lifecycle, serialisation of retry logic — that has nothing to do with the correctness of the generated test scripts, yet was capable of terminating a multi-hour unattended run. This observation motivated a architectural revision rather than a further round of point fixes.</w:t>
      </w:r>
    </w:p>
    <w:p>
      <w:pPr>
        <w:pStyle w:val="Heading2"/>
        <w:spacing w:after="140" w:before="260"/>
      </w:pPr>
      <w:r>
        <w:rPr>
          <w:rFonts w:ascii="Times New Roman" w:cs="Times New Roman" w:eastAsia="Times New Roman" w:hAnsi="Times New Roman"/>
          <w:b/>
          <w:bCs/>
          <w:sz w:val="24"/>
          <w:szCs w:val="24"/>
        </w:rPr>
        <w:t xml:space="preserve">6.5.2 Rearchitected Single-Process Implementation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corrected implementation, on which all results in Chapter 7 are based, removes the HTTP boundary entirely. Model loading, prompt construction, and generation are performed by a single in-process module that the Build–Measure–Assess–Decide loop calls directly as a function, with no server, no port, and no network client involved. This eliminates the entire class of failure described in Section 6.5.1 by construction, since there is no longer a connection to drop, a port to conflict over, or a timeout to elapse. Two further corrections, both genuine model-behaviour fixes rather than infrastructure fixes, were carried into the rearchitected implementation:</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Gemma 4 E4B's generation calls previously specified only the tokenizer's default end-of-sequence token as a stopping criterion; because Gemma 4's chat template delimits a turn with a distinct &lt;end_of_turn&gt; marker, generation would occasionally continue past the intended script into a hallucinated continuation of the conversation. The corrected implementation passes the model-specific turn-boundary token explicitly as an additional stopping criterion, and applies a truncate-at-first-marker safety net on the decoded output as a second line of defence should the stopping criterion still be missed.</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Memory usage on the Metal Performance Shaders backend was found to grow gradually across hundreds of sequential generation calls within a single long-lived process, eventually contributing to the read-timeout failures described above. An explicit garbage-collection pass together with the MPS-specific cache-clearing call is now issued after every generation, which measurably stabilised memory usage across multi-hour continuous runs in subsequent testing.</w:t>
      </w:r>
    </w:p>
    <w:p>
      <w:pPr>
        <w:spacing w:after="160" w:line="276"/>
        <w:jc w:val="both"/>
      </w:pPr>
      <w:r>
        <w:rPr>
          <w:rFonts w:ascii="Times New Roman" w:cs="Times New Roman" w:eastAsia="Times New Roman" w:hAnsi="Times New Roman"/>
          <w:b w:val="false"/>
          <w:bCs w:val="false"/>
          <w:i w:val="false"/>
          <w:iCs w:val="false"/>
          <w:sz w:val="24"/>
          <w:szCs w:val="24"/>
        </w:rPr>
        <w:t xml:space="preserve">The loop additionally implements a token-budget escalation policy: if a candidate script is rejected specifically because its braces or parentheses are unbalanced — the signature of truncation against the generation token ceiling rather than a content-quality failure — the next correction attempt is issued with a higher token ceiling rather than an identical one, since re-requesting “the complete script” at an unchanged budget simply reproduces the same cutoff. The ceiling is capped to bound worst-case latency per record.</w:t>
      </w:r>
    </w:p>
    <w:p>
      <w:pPr>
        <w:pStyle w:val="Heading2"/>
        <w:spacing w:after="140" w:before="260"/>
      </w:pPr>
      <w:r>
        <w:rPr>
          <w:rFonts w:ascii="Times New Roman" w:cs="Times New Roman" w:eastAsia="Times New Roman" w:hAnsi="Times New Roman"/>
          <w:b/>
          <w:bCs/>
          <w:sz w:val="24"/>
          <w:szCs w:val="24"/>
        </w:rPr>
        <w:t xml:space="preserve">6.5.3 Execution Reliability Engineering</w:t>
      </w:r>
    </w:p>
    <w:p>
      <w:pPr>
        <w:spacing w:after="160" w:line="276"/>
        <w:jc w:val="both"/>
      </w:pPr>
      <w:r>
        <w:rPr>
          <w:rFonts w:ascii="Times New Roman" w:cs="Times New Roman" w:eastAsia="Times New Roman" w:hAnsi="Times New Roman"/>
          <w:b w:val="false"/>
          <w:bCs w:val="false"/>
          <w:i w:val="false"/>
          <w:iCs w:val="false"/>
          <w:sz w:val="24"/>
          <w:szCs w:val="24"/>
        </w:rPr>
        <w:t xml:space="preserve">Beyond the single-process architectural change, three operational measures were adopted to make the full-dataset run practical on a single development machine shared with other applications, rather than a dedicated server.</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Checkpoint and resume: before generating a script for a given story, the loop checks whether a result file for that story identifier already exists in the output directory and, if so, skips regeneration. This allows a run to be safely interrupted and restarted from the point of interruption without discarding completed work, and underlies the chunked execution strategy below.</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Chunked execution: rather than attempting all 279 records per adapter in a single continuous process lifetime, execution was performed in fixed increments of 35 records per model/framework combination, with the process exiting and being relaunched between increments. Combined with checkpoint/resume, this bounds the maximum continuous process lifetime and correspondingly bounds any residual memory growth, while the retry-with-restart wrapper in the orchestration script additionally re-attempts a failed combination up to three times, restarting the process and resuming from checkpoint, before surfacing an error rather than continuing silently.</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Sleep prevention: because each chunk could run for several hours unattended, the operating system's default idle-sleep behaviour — which would otherwise suspend all running processes after a short period of inactivity — was suppressed for the duration of each chunk using a process-scoped sleep-prevention utility tied to the lifetime of the pipeline process, so that sleep prevention is released automatically when the chunk completes rather than requiring manual cleanup.</w:t>
      </w:r>
    </w:p>
    <w:p>
      <w:pPr>
        <w:pStyle w:val="Heading1"/>
        <w:spacing w:after="200" w:before="360"/>
      </w:pPr>
      <w:r>
        <w:rPr>
          <w:rFonts w:ascii="Times New Roman" w:cs="Times New Roman" w:eastAsia="Times New Roman" w:hAnsi="Times New Roman"/>
          <w:b/>
          <w:bCs/>
          <w:sz w:val="28"/>
          <w:szCs w:val="28"/>
        </w:rPr>
        <w:t xml:space="preserve">6.6 Evaluation Tooling</w:t>
      </w:r>
    </w:p>
    <w:p>
      <w:pPr>
        <w:spacing w:after="160" w:line="276"/>
        <w:jc w:val="both"/>
      </w:pPr>
      <w:r>
        <w:rPr>
          <w:rFonts w:ascii="Times New Roman" w:cs="Times New Roman" w:eastAsia="Times New Roman" w:hAnsi="Times New Roman"/>
          <w:b w:val="false"/>
          <w:bCs w:val="false"/>
          <w:i w:val="false"/>
          <w:iCs w:val="false"/>
          <w:sz w:val="24"/>
          <w:szCs w:val="24"/>
        </w:rPr>
        <w:t xml:space="preserve">Two categories of evaluation tooling were implemented to produce the results in Chapter 7. Independent syntax validation runs Node.js's built-in JavaScript/TypeScript parser (node --check) against every generated script from all eight systems, applying the same stop-marker truncation used defensively during generation (Section 6.5.2) so that any residual leaked chat-template text does not distort the validity measurement, and a corresponding Markdown-code-fence stripping step for the baseline systems after the fence-related measurement artefact described in Section 7.2 was identified. Statistical analysis tooling, built on the SciPy library, loads the per-record scores produced by both the BMAD loop and the baseline evaluator, joins them by story identifier to construct the paired dataset described in Section 7.1, and computes the one-way ANOVA, paired Wilcoxon signed-rank tests, chi-square test of independence, and category-level error matrices reported throughout Chapter 7.</w:t>
      </w:r>
    </w:p>
    <w:p>
      <w:pPr>
        <w:pStyle w:val="Heading1"/>
        <w:spacing w:after="200" w:before="360"/>
      </w:pPr>
      <w:r>
        <w:rPr>
          <w:rFonts w:ascii="Times New Roman" w:cs="Times New Roman" w:eastAsia="Times New Roman" w:hAnsi="Times New Roman"/>
          <w:b/>
          <w:bCs/>
          <w:sz w:val="28"/>
          <w:szCs w:val="28"/>
        </w:rPr>
        <w:t xml:space="preserve">6.7 Summary</w:t>
      </w:r>
    </w:p>
    <w:p>
      <w:pPr>
        <w:spacing w:after="160" w:line="276"/>
        <w:jc w:val="both"/>
      </w:pPr>
      <w:r>
        <w:rPr>
          <w:rFonts w:ascii="Times New Roman" w:cs="Times New Roman" w:eastAsia="Times New Roman" w:hAnsi="Times New Roman"/>
          <w:b w:val="false"/>
          <w:bCs w:val="false"/>
          <w:i w:val="false"/>
          <w:iCs w:val="false"/>
          <w:sz w:val="24"/>
          <w:szCs w:val="24"/>
        </w:rPr>
        <w:t xml:space="preserve">The implementation delivers all five architectural components introduced earlier: a framework-isolated dataset pipeline, a resumable zero-shot baseline evaluator, an MPS-adapted QLoRA fine-tuning procedure, a single-process BMAD agentic correction loop, and a statistical evaluation toolchain. The most significant engineering finding to emerge during implementation was that the original two-process, HTTP-mediated design for the agentic loop was reliable for short runs but not for the sustained, multi-hour unattended execution required to process the complete dataset, and that removing the HTTP boundary entirely — rather than continuing to patch individual failure modes within it — was the more effective correction. All quantitative results reported in Chapter 7 were produced using the corrected, single-process implementation described in Section 6.5.2, executed to completion across all four model/framework combinations with zero unrecovered failures once the chunked execution strategy of Section 6.5.3 was adopted.</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2026-07-17T19:26:13.755Z</dcterms:created>
  <dcterms:modified xsi:type="dcterms:W3CDTF">2026-07-17T19:26:13.756Z</dcterms:modified>
</cp:coreProperties>
</file>

<file path=docProps/custom.xml><?xml version="1.0" encoding="utf-8"?>
<Properties xmlns="http://schemas.openxmlformats.org/officeDocument/2006/custom-properties" xmlns:vt="http://schemas.openxmlformats.org/officeDocument/2006/docPropsVTypes"/>
</file>