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Senior Software Engineer - Full Stack | Angular, React, Next.js, Node.js, TypeScript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Vercel, Git, GitHub, GitLab, Bitbucket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GraphQL, WebSockets, Socket.IO, Firebase Functions, Microservices, Spica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Cloudinary, Firebase Cloud Messaging, OAuth, Google Maps APIs, third-party APIs, Jest, Playwright, ESLint, SonarQube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Own Ludwig end to end — product architecture, UI design, frontend development, backend on Spica, testing, deployment, and ongoing improvements, built largely from scratch.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Deliver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Build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3–4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5–10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PostgreSQL,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Node.js, NestJS, Express.js, TypeScript, Python, React, Angular, Next.js, React Native, PostgreSQL, MongoDB, MariaDB, Redis, TypeORM, Sequelize, Mongoose, GraphQL, REST APIs, AWS (S3, SNS), Cloudinary, Docker, Firebase, Jest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EquipX —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React, Next.js, Node.js, Express.js, MongoDB, Socket.IO, Cloudinary,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React, Next.js, Node.js, Express.js, and Socket.IO, with Stripe, MongoDB, Cloudinary, and AWS integrations.</w:t>
      </w:r>
    </w:p>
    <w:p>
      <w:pPr>
        <w:spacing w:before="100" w:after="0"/>
      </w:pPr>
      <w:r>
        <w:rPr>
          <w:b/>
          <w:i w:val="0"/>
          <w:sz w:val="21"/>
        </w:rPr>
        <w:t>Rentalytics.ai - Property Data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React, Next.js, TypeScript, Node.js, Express.js, Python, PostgreSQL, TypeORM, AWS S3, Jest</w:t>
      </w:r>
    </w:p>
    <w:p>
      <w:pPr>
        <w:spacing w:after="30"/>
        <w:ind w:left="317" w:hanging="202"/>
        <w:jc w:val="both"/>
      </w:pPr>
      <w:r>
        <w:rPr>
          <w:sz w:val="21"/>
        </w:rPr>
        <w:t>•  Built extraction and structuring pipelines that ingest millions of property listings from third-party real-estate sources.</w:t>
      </w:r>
    </w:p>
    <w:p>
      <w:pPr>
        <w:spacing w:after="30"/>
        <w:ind w:left="317" w:hanging="202"/>
        <w:jc w:val="both"/>
      </w:pPr>
      <w:r>
        <w:rPr>
          <w:sz w:val="21"/>
        </w:rPr>
        <w:t>•  Normalised inconsistent source data into a unified schema queryable by location, price and property features.</w:t>
      </w:r>
    </w:p>
    <w:p>
      <w:pPr>
        <w:spacing w:before="100" w:after="0"/>
      </w:pPr>
      <w:r>
        <w:rPr>
          <w:b/>
          <w:i w:val="0"/>
          <w:sz w:val="21"/>
        </w:rPr>
        <w:t>Ludwig Practice Suite —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generation, Spica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 across a therapist dashboard, an embeddable patient booking wizard, and mobile apps.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