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on Spica,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Spica (buckets and functions),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Node.js, NestJS, Express.js, TypeScript, Python, React, Angular, Next.js, React Native, PostgreSQL, MongoDB, MariaDB, Redis, TypeORM, Sequelize, Mongoose, GraphQL, REST APIs, AWS (S3, SNS), Cloudinary, Docker, Firebase, Jest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Playwright testing, and a Spica backend of buckets and functions.</w:t>
      </w:r>
    </w:p>
    <w:p>
      <w:pPr>
        <w:spacing w:before="100" w:after="0"/>
      </w:pPr>
      <w:r>
        <w:rPr>
          <w:b/>
          <w:i w:val="0"/>
          <w:sz w:val="21"/>
        </w:rPr>
        <w:t>Atomix Logistics - 3PL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Angular, PrimeNG, TypeScript, Node.js, Express.js, Sequelize, MariaDB, Firebase, and AWS S3.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React, Next.js, Node.js, Express.js, and Socket.IO, with Stripe, MongoDB, Cloudinary, and AWS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