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including large-scale data extraction and structuring - Python pipelines that ingest and normalise millions of property listings from third-party sources into searchable data, and live feed integrations from major real-estate portals. Comfortable owning the full path from crawler to API to UI.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medical practice-management suite for physiotherapy and doctors' practices in Germany and Austria - 1,140 of 1,553 commits over 14 months on a 14-contributor, nine-application product.</w:t>
      </w:r>
    </w:p>
    <w:p>
      <w:pPr>
        <w:spacing w:after="30"/>
        <w:ind w:left="317" w:hanging="202"/>
      </w:pPr>
      <w:r>
        <w:rPr>
          <w:sz w:val="21"/>
        </w:rPr>
        <w:t>•  Built clinical documentation to the conventions Austrian and German practices are legally obliged to keep - patient history, diagnosis, examination findings and therapy progress - with an anatomical body chart stored as structured data so a chart drawn in the Flutter app opens in the Angular dashboard.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per-company invoice number ranges, customer-supplied layouts rebuilt as a data-driven template library,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 - one deployment serving many practices, and practice groups partitioning patients, invoicing, number ranges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practice work with two-way synchronisation and a conflict-review screen,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16 and React 19 - per-practice theming, one-time-code email login, appointment and course booking with waiting lists, embeddable in a practice's own website.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 - calendar, patients, clinical documentation, invoicing, courses, insurance tariffs and staff across roughly 40 feature areas in Angular 19 and Ionic 8.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lists, free-slot computation and overlapping-appointment layout, with per-week incremental loading.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