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1"/>
        <w:rPr/>
      </w:pPr>
      <w:r>
        <w:rPr>
          <w:rtl w:val="true"/>
        </w:rPr>
        <w:t>عقد إيجار مبنى الإدارة</w:t>
      </w:r>
    </w:p>
    <w:p>
      <w:pPr>
        <w:pStyle w:val="BodyText"/>
        <w:bidi w:val="1"/>
        <w:rPr/>
      </w:pPr>
      <w:r>
        <w:rPr>
          <w:rtl w:val="true"/>
        </w:rPr>
        <w:t>الطرف الأول وزارة الاتصالات</w:t>
      </w:r>
    </w:p>
    <w:p>
      <w:pPr>
        <w:pStyle w:val="BodyText"/>
        <w:bidi w:val="1"/>
        <w:rPr/>
      </w:pPr>
      <w:r>
        <w:rPr>
          <w:rtl w:val="true"/>
        </w:rPr>
        <w:t>الطرف الثاني شركة النور للمقاولات</w:t>
      </w:r>
    </w:p>
    <w:p>
      <w:pPr>
        <w:pStyle w:val="BodyText"/>
        <w:bidi w:val="1"/>
        <w:rPr/>
      </w:pPr>
      <w:r>
        <w:rPr>
          <w:rtl w:val="true"/>
        </w:rPr>
        <w:t>قيمة العقد خمسة ملايين دينار</w:t>
      </w:r>
    </w:p>
    <w:p>
      <w:pPr>
        <w:pStyle w:val="BodyText"/>
        <w:bidi w:val="1"/>
        <w:spacing w:before="0" w:after="140"/>
        <w:rPr/>
      </w:pPr>
      <w:r>
        <w:rPr>
          <w:rtl w:val="true"/>
        </w:rPr>
        <w:t>تاريخ التوقيع الأول من شهر آب</w:t>
      </w:r>
    </w:p>
    <w:sectPr>
      <w:type w:val="nextPage"/>
      <w:pgSz w:w="12240" w:h="15840"/>
      <w:pgMar w:left="1134" w:right="567" w:gutter="0" w:header="0" w:top="567" w:footer="0" w:bottom="567"/>
      <w:pgNumType w:fmt="decimal"/>
      <w:formProt w:val="false"/>
      <w:textDirection w:val="lrTb"/>
      <w:bidi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goe UI">
    <w:altName w:val="Arial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480" w:before="600" w:after="600"/>
      <w:ind w:left="600" w:right="600"/>
    </w:pPr>
    <w:rPr>
      <w:rFonts w:ascii="Segoe UI;Arial" w:hAnsi="Segoe UI;Arial" w:eastAsia="Segoe UI;Arial" w:cs="Segoe UI;Arial"/>
      <w:color w:val="auto"/>
      <w:sz w:val="44"/>
      <w:szCs w:val="4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