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Document Recognition Pilot — Test Guide</w:t>
      </w:r>
    </w:p>
    <w:p>
      <w:pPr>
        <w:pStyle w:val="BodyTextsmall"/>
        <w:bidi w:val="0"/>
        <w:rPr/>
      </w:pPr>
      <w:r>
        <w:rPr/>
        <w:t>DMS · recognition pilot · September 2026</w:t>
      </w:r>
    </w:p>
    <w:p>
      <w:pPr>
        <w:pStyle w:val="BodyText"/>
        <w:bidi w:val="0"/>
        <w:rPr/>
      </w:pPr>
      <w:r>
        <w:rPr/>
        <w:t xml:space="preserve">The pilot measures whether the system can recognise a document's </w:t>
      </w:r>
      <w:r>
        <w:rPr>
          <w:b/>
        </w:rPr>
        <w:t>type from the look of its first page</w:t>
      </w:r>
      <w:r>
        <w:rPr/>
        <w:t xml:space="preserve"> and read its </w:t>
      </w:r>
      <w:r>
        <w:rPr>
          <w:b/>
        </w:rPr>
        <w:t>header</w:t>
      </w:r>
      <w:r>
        <w:rPr/>
        <w:t xml:space="preserve"> (number, date, subject, addressee). It only measures. It never changes a document's type, never writes a field and never starts an approval. Testing it means feeding it typed scans and reading the numbers it produces.</w:t>
      </w:r>
    </w:p>
    <w:p>
      <w:pPr>
        <w:pStyle w:val="Heading2"/>
        <w:bidi w:val="0"/>
        <w:jc w:val="left"/>
        <w:rPr/>
      </w:pPr>
      <w:r>
        <w:rPr/>
        <w:t>1. Before you start</w:t>
      </w:r>
    </w:p>
    <w:tbl>
      <w:tblPr>
        <w:tblW w:w="5000" w:type="pct"/>
        <w:jc w:val="left"/>
        <w:tblInd w:w="60" w:type="dxa"/>
        <w:tblLayout w:type="fixed"/>
        <w:tblCellMar>
          <w:top w:w="60" w:type="dxa"/>
          <w:left w:w="60" w:type="dxa"/>
          <w:bottom w:w="60" w:type="dxa"/>
          <w:right w:w="60" w:type="dxa"/>
        </w:tblCellMar>
      </w:tblPr>
      <w:tblGrid>
        <w:gridCol w:w="3400"/>
        <w:gridCol w:w="7938"/>
      </w:tblGrid>
      <w:tr>
        <w:trPr/>
        <w:tc>
          <w:tcPr>
            <w:tcW w:w="34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Check</w:t>
            </w:r>
          </w:p>
        </w:tc>
        <w:tc>
          <w:tcPr>
            <w:tcW w:w="79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Where / how</w:t>
            </w:r>
          </w:p>
        </w:tc>
      </w:tr>
      <w:tr>
        <w:trPr/>
        <w:tc>
          <w:tcPr>
            <w:tcW w:w="3400"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Server running with the OCR toolchain</w:t>
            </w:r>
          </w:p>
        </w:tc>
        <w:tc>
          <w:tcPr>
            <w:tcW w:w="7938"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bCs/>
                <w:rtl w:val="true"/>
              </w:rPr>
              <w:t>الإدارة › التشخيص</w:t>
            </w:r>
            <w:r>
              <w:rPr/>
              <w:t>: the OCR card must say the engine and the Arabic language data are installed. Ghostscript must be present (thumbnails of PDFs work).</w:t>
            </w:r>
          </w:p>
        </w:tc>
      </w:tr>
      <w:tr>
        <w:trPr/>
        <w:tc>
          <w:tcPr>
            <w:tcW w:w="3400"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A super-admin account</w:t>
            </w:r>
          </w:p>
        </w:tc>
        <w:tc>
          <w:tcPr>
            <w:tcW w:w="7938"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Only a super-admin can switch the pilot on and see its tab.</w:t>
            </w:r>
          </w:p>
        </w:tc>
      </w:tr>
      <w:tr>
        <w:trPr/>
        <w:tc>
          <w:tcPr>
            <w:tcW w:w="3400"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At least two document types</w:t>
            </w:r>
          </w:p>
        </w:tc>
        <w:tc>
          <w:tcPr>
            <w:tcW w:w="7938"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bCs/>
                <w:rtl w:val="true"/>
              </w:rPr>
              <w:t>الإدارة › البيانات الوصفية</w:t>
            </w:r>
            <w:r>
              <w:rPr/>
              <w:t>. Use the customer's real types, for example «</w:t>
            </w:r>
            <w:r>
              <w:rPr>
                <w:rtl w:val="true"/>
              </w:rPr>
              <w:t>كتاب رسمي</w:t>
            </w:r>
            <w:r>
              <w:rPr>
                <w:rtl w:val="true"/>
              </w:rPr>
              <w:t>», «</w:t>
            </w:r>
            <w:r>
              <w:rPr>
                <w:rtl w:val="true"/>
              </w:rPr>
              <w:t>مذكرة داخلية</w:t>
            </w:r>
            <w:r>
              <w:rPr>
                <w:rtl w:val="true"/>
              </w:rPr>
              <w:t>», «</w:t>
            </w:r>
            <w:r>
              <w:rPr>
                <w:rtl w:val="true"/>
              </w:rPr>
              <w:t>فاتورة</w:t>
            </w:r>
            <w:r>
              <w:rPr/>
              <w:t>».</w:t>
            </w:r>
          </w:p>
        </w:tc>
      </w:tr>
      <w:tr>
        <w:trPr/>
        <w:tc>
          <w:tcPr>
            <w:tcW w:w="3400"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Header fields (optional; needed to measure the header)</w:t>
            </w:r>
          </w:p>
        </w:tc>
        <w:tc>
          <w:tcPr>
            <w:tcW w:w="7938"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xml:space="preserve">Custom fields whose names contain </w:t>
            </w:r>
            <w:r>
              <w:rPr>
                <w:bCs/>
                <w:rtl w:val="true"/>
              </w:rPr>
              <w:t>رقم</w:t>
            </w:r>
            <w:r>
              <w:rPr/>
              <w:t xml:space="preserve"> </w:t>
            </w:r>
            <w:r>
              <w:rPr/>
              <w:t xml:space="preserve">or </w:t>
            </w:r>
            <w:r>
              <w:rPr>
                <w:bCs/>
                <w:rtl w:val="true"/>
              </w:rPr>
              <w:t>العدد</w:t>
            </w:r>
            <w:r>
              <w:rPr>
                <w:rtl w:val="true"/>
              </w:rPr>
              <w:t xml:space="preserve">, </w:t>
            </w:r>
            <w:r>
              <w:rPr>
                <w:bCs/>
                <w:rtl w:val="true"/>
              </w:rPr>
              <w:t>تاريخ</w:t>
            </w:r>
            <w:r>
              <w:rPr>
                <w:rtl w:val="true"/>
              </w:rPr>
              <w:t xml:space="preserve">, </w:t>
            </w:r>
            <w:r>
              <w:rPr>
                <w:bCs/>
                <w:rtl w:val="true"/>
              </w:rPr>
              <w:t>الموضوع</w:t>
            </w:r>
            <w:r>
              <w:rPr/>
              <w:t xml:space="preserve">, and </w:t>
            </w:r>
            <w:r>
              <w:rPr>
                <w:bCs/>
                <w:rtl w:val="true"/>
              </w:rPr>
              <w:t>إلى</w:t>
            </w:r>
            <w:r>
              <w:rPr>
                <w:rtl w:val="true"/>
              </w:rPr>
              <w:t xml:space="preserve"> </w:t>
            </w:r>
            <w:r>
              <w:rPr>
                <w:rtl w:val="true"/>
              </w:rPr>
              <w:t xml:space="preserve">/ </w:t>
            </w:r>
            <w:r>
              <w:rPr>
                <w:bCs/>
                <w:rtl w:val="true"/>
              </w:rPr>
              <w:t>الجهة</w:t>
            </w:r>
            <w:r>
              <w:rPr>
                <w:rtl w:val="true"/>
              </w:rPr>
              <w:t xml:space="preserve"> </w:t>
            </w:r>
            <w:r>
              <w:rPr>
                <w:rtl w:val="true"/>
              </w:rPr>
              <w:t xml:space="preserve">/ </w:t>
            </w:r>
            <w:r>
              <w:rPr>
                <w:bCs/>
                <w:rtl w:val="true"/>
              </w:rPr>
              <w:t>القسم</w:t>
            </w:r>
            <w:r>
              <w:rPr/>
              <w:t>. The pilot matches fields to header roles by name and shows which it matched.</w:t>
            </w:r>
          </w:p>
        </w:tc>
      </w:tr>
      <w:tr>
        <w:trPr/>
        <w:tc>
          <w:tcPr>
            <w:tcW w:w="3400" w:type="dxa"/>
            <w:tcBorders>
              <w:left w:val="single" w:sz="6" w:space="0" w:color="808080"/>
              <w:bottom w:val="single" w:sz="6" w:space="0" w:color="808080"/>
              <w:right w:val="single" w:sz="6" w:space="0" w:color="808080"/>
            </w:tcBorders>
            <w:vAlign w:val="center"/>
          </w:tcPr>
          <w:p>
            <w:pPr>
              <w:pStyle w:val="TableContents"/>
              <w:bidi w:val="0"/>
              <w:spacing w:before="80" w:after="80"/>
              <w:rPr/>
            </w:pPr>
            <w:r>
              <w:rPr/>
              <w:t>Scanned documents</w:t>
            </w:r>
          </w:p>
        </w:tc>
        <w:tc>
          <w:tcPr>
            <w:tcW w:w="7938"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xml:space="preserve">Real scans from the customer's scanner and paper. </w:t>
            </w:r>
            <w:r>
              <w:rPr>
                <w:b/>
              </w:rPr>
              <w:t>30 to 50 per type</w:t>
            </w:r>
            <w:r>
              <w:rPr/>
              <w:t xml:space="preserve"> for meaningful numbers; 5 per type of two types is enough for a first smoke test. PDF, TIFF, PNG or JPEG. Only page one is read.</w:t>
            </w:r>
          </w:p>
        </w:tc>
      </w:tr>
    </w:tbl>
    <w:p>
      <w:pPr>
        <w:pStyle w:val="Heading2"/>
        <w:bidi w:val="0"/>
        <w:jc w:val="left"/>
        <w:rPr/>
      </w:pPr>
      <w:r>
        <w:rPr/>
        <w:t>2. Switch the pilot on</w:t>
      </w:r>
    </w:p>
    <w:p>
      <w:pPr>
        <w:pStyle w:val="BodyText"/>
        <w:numPr>
          <w:ilvl w:val="0"/>
          <w:numId w:val="1"/>
        </w:numPr>
        <w:tabs>
          <w:tab w:val="clear" w:pos="1134"/>
          <w:tab w:val="left" w:pos="789" w:leader="none"/>
        </w:tabs>
        <w:bidi w:val="0"/>
        <w:spacing w:before="80" w:after="0"/>
        <w:ind w:hanging="283" w:left="789"/>
        <w:rPr/>
      </w:pPr>
      <w:r>
        <w:rPr/>
        <w:t xml:space="preserve">Open </w:t>
      </w:r>
      <w:r>
        <w:rPr>
          <w:bCs/>
          <w:rtl w:val="true"/>
        </w:rPr>
        <w:t>الإدارة › الإعدادات</w:t>
      </w:r>
      <w:r>
        <w:rPr/>
        <w:t xml:space="preserve">. </w:t>
      </w:r>
    </w:p>
    <w:p>
      <w:pPr>
        <w:pStyle w:val="BodyText"/>
        <w:numPr>
          <w:ilvl w:val="0"/>
          <w:numId w:val="1"/>
        </w:numPr>
        <w:tabs>
          <w:tab w:val="clear" w:pos="1134"/>
          <w:tab w:val="left" w:pos="789" w:leader="none"/>
        </w:tabs>
        <w:bidi w:val="0"/>
        <w:spacing w:before="80" w:after="0"/>
        <w:ind w:hanging="283" w:left="789"/>
        <w:rPr/>
      </w:pPr>
      <w:r>
        <w:rPr/>
        <w:t xml:space="preserve">In the </w:t>
      </w:r>
      <w:r>
        <w:rPr>
          <w:bCs/>
          <w:rtl w:val="true"/>
        </w:rPr>
        <w:t>المعالجة</w:t>
      </w:r>
      <w:r>
        <w:rPr/>
        <w:t xml:space="preserve"> </w:t>
      </w:r>
      <w:r>
        <w:rPr/>
        <w:t xml:space="preserve">section find </w:t>
      </w:r>
      <w:r>
        <w:rPr>
          <w:bCs/>
          <w:rtl w:val="true"/>
        </w:rPr>
        <w:t xml:space="preserve">التعرّف التلقائي على الوثائق </w:t>
      </w:r>
      <w:r>
        <w:rPr>
          <w:b/>
          <w:rtl w:val="true"/>
        </w:rPr>
        <w:t>(</w:t>
      </w:r>
      <w:r>
        <w:rPr>
          <w:bCs/>
          <w:rtl w:val="true"/>
        </w:rPr>
        <w:t>تجريبي</w:t>
      </w:r>
      <w:r>
        <w:rPr>
          <w:b/>
          <w:rtl w:val="true"/>
        </w:rPr>
        <w:t>)</w:t>
      </w:r>
      <w:r>
        <w:rPr/>
        <w:t xml:space="preserve"> and set it to </w:t>
      </w:r>
      <w:r>
        <w:rPr>
          <w:bCs/>
          <w:rtl w:val="true"/>
        </w:rPr>
        <w:t>نعم</w:t>
      </w:r>
      <w:r>
        <w:rPr/>
        <w:t xml:space="preserve">. Dropdown rows save immediately. </w:t>
      </w:r>
    </w:p>
    <w:p>
      <w:pPr>
        <w:pStyle w:val="BodyText"/>
        <w:numPr>
          <w:ilvl w:val="0"/>
          <w:numId w:val="1"/>
        </w:numPr>
        <w:tabs>
          <w:tab w:val="clear" w:pos="1134"/>
          <w:tab w:val="left" w:pos="789" w:leader="none"/>
        </w:tabs>
        <w:bidi w:val="0"/>
        <w:ind w:hanging="283" w:left="789"/>
        <w:rPr/>
      </w:pPr>
      <w:r>
        <w:rPr/>
        <w:t xml:space="preserve">Open </w:t>
      </w:r>
      <w:r>
        <w:rPr>
          <w:bCs/>
          <w:rtl w:val="true"/>
        </w:rPr>
        <w:t xml:space="preserve">الإدارة › التعرّف التلقائي </w:t>
      </w:r>
      <w:r>
        <w:rPr>
          <w:b/>
          <w:rtl w:val="true"/>
        </w:rPr>
        <w:t>(</w:t>
      </w:r>
      <w:r>
        <w:rPr>
          <w:bCs/>
          <w:rtl w:val="true"/>
        </w:rPr>
        <w:t>تجريبي</w:t>
      </w:r>
      <w:r>
        <w:rPr>
          <w:b/>
          <w:rtl w:val="true"/>
        </w:rPr>
        <w:t>)</w:t>
      </w:r>
      <w:r>
        <w:rPr/>
        <w:t xml:space="preserve"> and press </w:t>
      </w:r>
      <w:r>
        <w:rPr>
          <w:bCs/>
          <w:rtl w:val="true"/>
        </w:rPr>
        <w:t>تحديث</w:t>
      </w:r>
      <w:r>
        <w:rPr/>
        <w:t>. The yellow banner must turn green: «</w:t>
      </w:r>
      <w:r>
        <w:rPr>
          <w:rtl w:val="true"/>
        </w:rPr>
        <w:t xml:space="preserve">مفعّل </w:t>
      </w:r>
      <w:r>
        <w:rPr>
          <w:rtl w:val="true"/>
        </w:rPr>
        <w:t>(</w:t>
      </w:r>
      <w:r>
        <w:rPr>
          <w:rtl w:val="true"/>
        </w:rPr>
        <w:t>من الإعدادات</w:t>
      </w:r>
      <w:r>
        <w:rPr>
          <w:rtl w:val="true"/>
        </w:rPr>
        <w:t xml:space="preserve">) </w:t>
      </w:r>
      <w:r>
        <w:rPr>
          <w:rtl w:val="true"/>
        </w:rPr>
        <w:t>والأدوات جاهزة</w:t>
      </w:r>
      <w:r>
        <w:rPr/>
        <w:t xml:space="preserve">». </w:t>
      </w:r>
    </w:p>
    <w:tbl>
      <w:tblPr>
        <w:tblW w:w="5000" w:type="pct"/>
        <w:jc w:val="left"/>
        <w:tblInd w:w="90" w:type="dxa"/>
        <w:tblLayout w:type="fixed"/>
        <w:tblCellMar>
          <w:top w:w="90" w:type="dxa"/>
          <w:left w:w="90" w:type="dxa"/>
          <w:bottom w:w="90" w:type="dxa"/>
          <w:right w:w="90" w:type="dxa"/>
        </w:tblCellMar>
      </w:tblPr>
      <w:tblGrid>
        <w:gridCol w:w="11339"/>
      </w:tblGrid>
      <w:tr>
        <w:trPr/>
        <w:tc>
          <w:tcPr>
            <w:tcW w:w="11339" w:type="dxa"/>
            <w:tcBorders>
              <w:top w:val="single" w:sz="6" w:space="0" w:color="808080"/>
              <w:left w:val="single" w:sz="6" w:space="0" w:color="808080"/>
              <w:bottom w:val="single" w:sz="6" w:space="0" w:color="808080"/>
              <w:right w:val="single" w:sz="6" w:space="0" w:color="808080"/>
            </w:tcBorders>
            <w:shd w:fill="FFF8E6" w:val="clear"/>
            <w:vAlign w:val="center"/>
          </w:tcPr>
          <w:p>
            <w:pPr>
              <w:pStyle w:val="TableContents"/>
              <w:bidi w:val="0"/>
              <w:spacing w:before="80" w:after="80"/>
              <w:ind w:hanging="0" w:left="0" w:right="0"/>
              <w:rPr/>
            </w:pPr>
            <w:r>
              <w:rPr/>
              <w:t xml:space="preserve">The setting is stored in the database of this server only. Production carries the same code with the switch off and runs none of it. If the row is missing from </w:t>
            </w:r>
            <w:r>
              <w:rPr>
                <w:bCs/>
                <w:rtl w:val="true"/>
              </w:rPr>
              <w:t>المعالجة</w:t>
            </w:r>
            <w:r>
              <w:rPr/>
              <w:t>, the API process predates the change: restart it.</w:t>
            </w:r>
          </w:p>
        </w:tc>
      </w:tr>
    </w:tbl>
    <w:p>
      <w:pPr>
        <w:pStyle w:val="Heading2"/>
        <w:bidi w:val="0"/>
        <w:jc w:val="left"/>
        <w:rPr/>
      </w:pPr>
      <w:r>
        <w:rPr/>
        <w:t>3. Load the training set</w:t>
      </w:r>
    </w:p>
    <w:p>
      <w:pPr>
        <w:pStyle w:val="BodyText"/>
        <w:numPr>
          <w:ilvl w:val="0"/>
          <w:numId w:val="2"/>
        </w:numPr>
        <w:tabs>
          <w:tab w:val="clear" w:pos="1134"/>
          <w:tab w:val="left" w:pos="789" w:leader="none"/>
        </w:tabs>
        <w:bidi w:val="0"/>
        <w:spacing w:before="80" w:after="0"/>
        <w:ind w:hanging="283" w:left="789"/>
        <w:rPr/>
      </w:pPr>
      <w:r>
        <w:rPr/>
        <w:t>Go to a folder and upload the scans (</w:t>
      </w:r>
      <w:r>
        <w:rPr>
          <w:bCs/>
          <w:rtl w:val="true"/>
        </w:rPr>
        <w:t>رفع وثيقة</w:t>
      </w:r>
      <w:r>
        <w:rPr/>
        <w:t xml:space="preserve">, or drag and drop; choose </w:t>
      </w:r>
      <w:r>
        <w:rPr>
          <w:bCs/>
          <w:rtl w:val="true"/>
        </w:rPr>
        <w:t>وثائق منفصلة</w:t>
      </w:r>
      <w:r>
        <w:rPr/>
        <w:t xml:space="preserve"> </w:t>
      </w:r>
      <w:r>
        <w:rPr/>
        <w:t xml:space="preserve">for a batch). </w:t>
      </w:r>
    </w:p>
    <w:p>
      <w:pPr>
        <w:pStyle w:val="BodyText"/>
        <w:numPr>
          <w:ilvl w:val="0"/>
          <w:numId w:val="2"/>
        </w:numPr>
        <w:tabs>
          <w:tab w:val="clear" w:pos="1134"/>
          <w:tab w:val="left" w:pos="789" w:leader="none"/>
        </w:tabs>
        <w:bidi w:val="0"/>
        <w:spacing w:before="80" w:after="0"/>
        <w:ind w:hanging="283" w:left="789"/>
        <w:rPr/>
      </w:pPr>
      <w:r>
        <w:rPr/>
        <w:t xml:space="preserve">For every document, </w:t>
      </w:r>
      <w:r>
        <w:rPr>
          <w:b/>
        </w:rPr>
        <w:t>choose its type</w:t>
      </w:r>
      <w:r>
        <w:rPr/>
        <w:t xml:space="preserve"> and, if the header fields exist, </w:t>
      </w:r>
      <w:r>
        <w:rPr>
          <w:b/>
        </w:rPr>
        <w:t>type the header values</w:t>
      </w:r>
      <w:r>
        <w:rPr/>
        <w:t xml:space="preserve"> exactly as they appear on the paper (number, date, subject, addressee). The type is the answer key; the field values are the answer key for the header. </w:t>
      </w:r>
    </w:p>
    <w:p>
      <w:pPr>
        <w:pStyle w:val="BodyText"/>
        <w:numPr>
          <w:ilvl w:val="0"/>
          <w:numId w:val="2"/>
        </w:numPr>
        <w:tabs>
          <w:tab w:val="clear" w:pos="1134"/>
          <w:tab w:val="left" w:pos="789" w:leader="none"/>
        </w:tabs>
        <w:bidi w:val="0"/>
        <w:ind w:hanging="283" w:left="789"/>
        <w:rPr/>
      </w:pPr>
      <w:r>
        <w:rPr/>
        <w:t xml:space="preserve">Repeat for each type. Keep a few scans of each type aside, untyped, for step 6. </w:t>
      </w:r>
    </w:p>
    <w:p>
      <w:pPr>
        <w:pStyle w:val="BodyTextsmall"/>
        <w:bidi w:val="0"/>
        <w:rPr/>
      </w:pPr>
      <w:r>
        <w:rPr/>
        <w:t>Documents uploaded while the switch is on are queued automatically. Documents that existed before are reached by the button in step 4.</w:t>
      </w:r>
    </w:p>
    <w:p>
      <w:pPr>
        <w:pStyle w:val="Heading2"/>
        <w:bidi w:val="0"/>
        <w:jc w:val="left"/>
        <w:rPr/>
      </w:pPr>
      <w:r>
        <w:rPr/>
        <w:t>4. Build the fingerprints</w:t>
      </w:r>
    </w:p>
    <w:p>
      <w:pPr>
        <w:pStyle w:val="BodyText"/>
        <w:numPr>
          <w:ilvl w:val="0"/>
          <w:numId w:val="3"/>
        </w:numPr>
        <w:tabs>
          <w:tab w:val="clear" w:pos="1134"/>
          <w:tab w:val="left" w:pos="789" w:leader="none"/>
        </w:tabs>
        <w:bidi w:val="0"/>
        <w:spacing w:before="80" w:after="0"/>
        <w:ind w:hanging="283" w:left="789"/>
        <w:rPr/>
      </w:pPr>
      <w:r>
        <w:rPr/>
        <w:t xml:space="preserve">In the pilot tab press </w:t>
      </w:r>
      <w:r>
        <w:rPr>
          <w:bCs/>
          <w:rtl w:val="true"/>
        </w:rPr>
        <w:t>احسب للوثائق الناقصة</w:t>
      </w:r>
      <w:r>
        <w:rPr/>
        <w:t xml:space="preserve">. </w:t>
      </w:r>
    </w:p>
    <w:p>
      <w:pPr>
        <w:pStyle w:val="BodyText"/>
        <w:numPr>
          <w:ilvl w:val="0"/>
          <w:numId w:val="3"/>
        </w:numPr>
        <w:tabs>
          <w:tab w:val="clear" w:pos="1134"/>
          <w:tab w:val="left" w:pos="789" w:leader="none"/>
        </w:tabs>
        <w:bidi w:val="0"/>
        <w:spacing w:before="80" w:after="0"/>
        <w:ind w:hanging="283" w:left="789"/>
        <w:rPr/>
      </w:pPr>
      <w:r>
        <w:rPr/>
        <w:t xml:space="preserve">Watch the </w:t>
      </w:r>
      <w:r>
        <w:rPr>
          <w:bCs/>
          <w:rtl w:val="true"/>
        </w:rPr>
        <w:t>في قائمة الانتظار</w:t>
      </w:r>
      <w:r>
        <w:rPr/>
        <w:t xml:space="preserve"> </w:t>
      </w:r>
      <w:r>
        <w:rPr/>
        <w:t xml:space="preserve">tile count down. The page refreshes itself every few seconds. Expect roughly 2 seconds per document. </w:t>
      </w:r>
    </w:p>
    <w:p>
      <w:pPr>
        <w:pStyle w:val="BodyText"/>
        <w:numPr>
          <w:ilvl w:val="0"/>
          <w:numId w:val="3"/>
        </w:numPr>
        <w:tabs>
          <w:tab w:val="clear" w:pos="1134"/>
          <w:tab w:val="left" w:pos="789" w:leader="none"/>
        </w:tabs>
        <w:bidi w:val="0"/>
        <w:spacing w:before="80" w:after="0"/>
        <w:ind w:hanging="283" w:left="789"/>
        <w:rPr/>
      </w:pPr>
      <w:r>
        <w:rPr/>
        <w:t xml:space="preserve">When it reaches 0, the </w:t>
      </w:r>
      <w:r>
        <w:rPr>
          <w:bCs/>
          <w:rtl w:val="true"/>
        </w:rPr>
        <w:t>بصمات محسوبة</w:t>
      </w:r>
      <w:r>
        <w:rPr/>
        <w:t xml:space="preserve"> </w:t>
      </w:r>
      <w:r>
        <w:rPr/>
        <w:t xml:space="preserve">tile equals the number of documents, and </w:t>
      </w:r>
      <w:r>
        <w:rPr>
          <w:bCs/>
          <w:rtl w:val="true"/>
        </w:rPr>
        <w:t>منها ذات نوع محدد</w:t>
      </w:r>
      <w:r>
        <w:rPr/>
        <w:t xml:space="preserve"> </w:t>
      </w:r>
      <w:r>
        <w:rPr/>
        <w:t>equals the number you typed. The table underneath lists samples per type with a verdict (</w:t>
      </w:r>
      <w:r>
        <w:rPr>
          <w:rtl w:val="true"/>
        </w:rPr>
        <w:t xml:space="preserve">كافٍ </w:t>
      </w:r>
      <w:r>
        <w:rPr>
          <w:rtl w:val="true"/>
        </w:rPr>
        <w:t xml:space="preserve">/ </w:t>
      </w:r>
      <w:r>
        <w:rPr>
          <w:rtl w:val="true"/>
        </w:rPr>
        <w:t xml:space="preserve">قليل </w:t>
      </w:r>
      <w:r>
        <w:rPr>
          <w:rtl w:val="true"/>
        </w:rPr>
        <w:t xml:space="preserve">/ </w:t>
      </w:r>
      <w:r>
        <w:rPr>
          <w:rtl w:val="true"/>
        </w:rPr>
        <w:t>غير كافٍ</w:t>
      </w:r>
      <w:r>
        <w:rPr/>
        <w:t xml:space="preserve">). </w:t>
      </w:r>
    </w:p>
    <w:p>
      <w:pPr>
        <w:pStyle w:val="BodyText"/>
        <w:numPr>
          <w:ilvl w:val="0"/>
          <w:numId w:val="3"/>
        </w:numPr>
        <w:tabs>
          <w:tab w:val="clear" w:pos="1134"/>
          <w:tab w:val="left" w:pos="789" w:leader="none"/>
        </w:tabs>
        <w:bidi w:val="0"/>
        <w:ind w:hanging="283" w:left="789"/>
        <w:rPr/>
      </w:pPr>
      <w:r>
        <w:rPr/>
        <w:t xml:space="preserve">If a list </w:t>
      </w:r>
      <w:r>
        <w:rPr>
          <w:bCs/>
          <w:rtl w:val="true"/>
        </w:rPr>
        <w:t>مهام لم تكتمل</w:t>
      </w:r>
      <w:r>
        <w:rPr/>
        <w:t xml:space="preserve"> </w:t>
      </w:r>
      <w:r>
        <w:rPr/>
        <w:t xml:space="preserve">appears, read the reason next to each document (a file that is not a scan, a missing tool, a timeout). </w:t>
      </w:r>
    </w:p>
    <w:p>
      <w:pPr>
        <w:pStyle w:val="Heading2"/>
        <w:bidi w:val="0"/>
        <w:jc w:val="left"/>
        <w:rPr/>
      </w:pPr>
      <w:r>
        <w:rPr/>
        <w:t>5. Compute and read the results</w:t>
      </w:r>
    </w:p>
    <w:p>
      <w:pPr>
        <w:pStyle w:val="BodyText"/>
        <w:bidi w:val="0"/>
        <w:rPr/>
      </w:pPr>
      <w:r>
        <w:rPr/>
        <w:t xml:space="preserve">Press </w:t>
      </w:r>
      <w:r>
        <w:rPr>
          <w:bCs/>
          <w:rtl w:val="true"/>
        </w:rPr>
        <w:t>احسب النتائج</w:t>
      </w:r>
      <w:r>
        <w:rPr/>
        <w:t>. Every typed document is predicted from all the others (never from itself) and compared with its real type.</w:t>
      </w:r>
    </w:p>
    <w:tbl>
      <w:tblPr>
        <w:tblW w:w="5000" w:type="pct"/>
        <w:jc w:val="left"/>
        <w:tblInd w:w="60" w:type="dxa"/>
        <w:tblLayout w:type="fixed"/>
        <w:tblCellMar>
          <w:top w:w="60" w:type="dxa"/>
          <w:left w:w="60" w:type="dxa"/>
          <w:bottom w:w="60" w:type="dxa"/>
          <w:right w:w="60" w:type="dxa"/>
        </w:tblCellMar>
      </w:tblPr>
      <w:tblGrid>
        <w:gridCol w:w="2721"/>
        <w:gridCol w:w="5216"/>
        <w:gridCol w:w="3401"/>
      </w:tblGrid>
      <w:tr>
        <w:trPr/>
        <w:tc>
          <w:tcPr>
            <w:tcW w:w="272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On screen</w:t>
            </w:r>
          </w:p>
        </w:tc>
        <w:tc>
          <w:tcPr>
            <w:tcW w:w="521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What it means</w:t>
            </w:r>
          </w:p>
        </w:tc>
        <w:tc>
          <w:tcPr>
            <w:tcW w:w="34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What to look for</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دقة التصنيف الكلية</w:t>
            </w:r>
          </w:p>
        </w:tc>
        <w:tc>
          <w:tcPr>
            <w:tcW w:w="521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Share of typed documents whose type was recognised.</w:t>
            </w:r>
          </w:p>
        </w:tc>
        <w:tc>
          <w:tcPr>
            <w:tcW w:w="340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95% or more with 30+ per type is a strong result.</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حسب النوع</w:t>
            </w:r>
            <w:r>
              <w:rPr>
                <w:rtl w:val="true"/>
              </w:rPr>
              <w:t xml:space="preserve">: </w:t>
            </w:r>
            <w:r>
              <w:rPr>
                <w:rtl w:val="true"/>
              </w:rPr>
              <w:t xml:space="preserve">استدعاء </w:t>
            </w:r>
            <w:r>
              <w:rPr>
                <w:rtl w:val="true"/>
              </w:rPr>
              <w:t xml:space="preserve">/ </w:t>
            </w:r>
            <w:r>
              <w:rPr>
                <w:rtl w:val="true"/>
              </w:rPr>
              <w:t>دقة</w:t>
            </w:r>
          </w:p>
        </w:tc>
        <w:tc>
          <w:tcPr>
            <w:tcW w:w="521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Per type: how many of its documents were recognised / how much of what was called this type was right.</w:t>
            </w:r>
          </w:p>
        </w:tc>
        <w:tc>
          <w:tcPr>
            <w:tcW w:w="340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A type with low recall needs more samples, or is visually identical to another type.</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الخلط بين الأنواع</w:t>
            </w:r>
          </w:p>
        </w:tc>
        <w:tc>
          <w:tcPr>
            <w:tcW w:w="521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Which types were mistaken for which.</w:t>
            </w:r>
          </w:p>
        </w:tc>
        <w:tc>
          <w:tcPr>
            <w:tcW w:w="340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Two confused types usually are two layouts that really look alike.</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منحنى الأتمتة</w:t>
            </w:r>
          </w:p>
        </w:tc>
        <w:tc>
          <w:tcPr>
            <w:tcW w:w="521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At each confidence threshold: how many documents would have been decided with no person, and how many of those were right. The highlighted row is the rule as configured today.</w:t>
            </w:r>
          </w:p>
        </w:tc>
        <w:tc>
          <w:tcPr>
            <w:tcW w:w="340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This table replaces "100% confident". The customer picks a threshold; the rest goes to a reviewer.</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شكل مجهول</w:t>
            </w:r>
          </w:p>
        </w:tc>
        <w:tc>
          <w:tcPr>
            <w:tcW w:w="521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Pages that resemble nothing in the training set.</w:t>
            </w:r>
          </w:p>
        </w:tc>
        <w:tc>
          <w:tcPr>
            <w:tcW w:w="340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Expected for a format the system has not seen. Not an error.</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حقول الترويسة</w:t>
            </w:r>
          </w:p>
        </w:tc>
        <w:tc>
          <w:tcPr>
            <w:tcW w:w="521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For each of the four header fields: read on how many pages, compared on how many, and how many matched exactly / nearly / not. Hijri dates are counted apart.</w:t>
            </w:r>
          </w:p>
        </w:tc>
        <w:tc>
          <w:tcPr>
            <w:tcW w:w="340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Subject and addressee are usually good. Numbers and dates depend on the digits; see section 8.</w:t>
            </w:r>
          </w:p>
        </w:tc>
      </w:tr>
      <w:tr>
        <w:trPr/>
        <w:tc>
          <w:tcPr>
            <w:tcW w:w="2721" w:type="dxa"/>
            <w:tcBorders>
              <w:left w:val="single" w:sz="6" w:space="0" w:color="808080"/>
              <w:bottom w:val="single" w:sz="6" w:space="0" w:color="808080"/>
              <w:right w:val="single" w:sz="6" w:space="0" w:color="808080"/>
            </w:tcBorders>
            <w:vAlign w:val="center"/>
          </w:tcPr>
          <w:p>
            <w:pPr>
              <w:pStyle w:val="TableContents"/>
              <w:bidi w:val="0"/>
              <w:spacing w:before="80" w:after="80"/>
              <w:rPr/>
            </w:pPr>
            <w:r>
              <w:rPr>
                <w:rtl w:val="true"/>
              </w:rPr>
              <w:t>وثائق أخطأ النظام في نوعها</w:t>
            </w:r>
          </w:p>
        </w:tc>
        <w:tc>
          <w:tcPr>
            <w:tcW w:w="5216"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The misclassified documents, each a link.</w:t>
            </w:r>
          </w:p>
        </w:tc>
        <w:tc>
          <w:tcPr>
            <w:tcW w:w="3401"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Open a few and look at the neighbours to understand why.</w:t>
            </w:r>
          </w:p>
        </w:tc>
      </w:tr>
    </w:tbl>
    <w:p>
      <w:pPr>
        <w:pStyle w:val="Heading2"/>
        <w:bidi w:val="0"/>
        <w:jc w:val="left"/>
        <w:rPr/>
      </w:pPr>
      <w:r>
        <w:rPr/>
        <w:t>6. Test a single new document</w:t>
      </w:r>
    </w:p>
    <w:p>
      <w:pPr>
        <w:pStyle w:val="BodyText"/>
        <w:numPr>
          <w:ilvl w:val="0"/>
          <w:numId w:val="4"/>
        </w:numPr>
        <w:tabs>
          <w:tab w:val="clear" w:pos="1134"/>
          <w:tab w:val="left" w:pos="789" w:leader="none"/>
        </w:tabs>
        <w:bidi w:val="0"/>
        <w:spacing w:before="80" w:after="0"/>
        <w:ind w:hanging="283" w:left="789"/>
        <w:rPr/>
      </w:pPr>
      <w:r>
        <w:rPr/>
        <w:t xml:space="preserve">Upload one of the scans you kept aside </w:t>
      </w:r>
      <w:r>
        <w:rPr>
          <w:b/>
        </w:rPr>
        <w:t>without choosing a type</w:t>
      </w:r>
      <w:r>
        <w:rPr/>
        <w:t xml:space="preserve">. </w:t>
      </w:r>
    </w:p>
    <w:p>
      <w:pPr>
        <w:pStyle w:val="BodyText"/>
        <w:numPr>
          <w:ilvl w:val="0"/>
          <w:numId w:val="4"/>
        </w:numPr>
        <w:tabs>
          <w:tab w:val="clear" w:pos="1134"/>
          <w:tab w:val="left" w:pos="789" w:leader="none"/>
        </w:tabs>
        <w:bidi w:val="0"/>
        <w:spacing w:before="80" w:after="0"/>
        <w:ind w:hanging="283" w:left="789"/>
        <w:rPr/>
      </w:pPr>
      <w:r>
        <w:rPr/>
        <w:t xml:space="preserve">Open it and go to the </w:t>
      </w:r>
      <w:r>
        <w:rPr>
          <w:bCs/>
          <w:rtl w:val="true"/>
        </w:rPr>
        <w:t>التعرّف</w:t>
      </w:r>
      <w:r>
        <w:rPr/>
        <w:t xml:space="preserve"> </w:t>
      </w:r>
      <w:r>
        <w:rPr/>
        <w:t xml:space="preserve">tab (it exists only while the pilot is on). Wait for the queue, or press </w:t>
      </w:r>
      <w:r>
        <w:rPr>
          <w:bCs/>
          <w:rtl w:val="true"/>
        </w:rPr>
        <w:t>احسب الآن</w:t>
      </w:r>
      <w:r>
        <w:rPr/>
        <w:t xml:space="preserve">. </w:t>
      </w:r>
    </w:p>
    <w:p>
      <w:pPr>
        <w:pStyle w:val="BodyText"/>
        <w:numPr>
          <w:ilvl w:val="0"/>
          <w:numId w:val="4"/>
        </w:numPr>
        <w:tabs>
          <w:tab w:val="clear" w:pos="1134"/>
          <w:tab w:val="left" w:pos="789" w:leader="none"/>
        </w:tabs>
        <w:bidi w:val="0"/>
        <w:spacing w:before="80" w:after="0"/>
        <w:ind w:hanging="283" w:left="789"/>
        <w:rPr/>
      </w:pPr>
      <w:r>
        <w:rPr/>
        <w:t>Check: the predicted type, the badge («</w:t>
      </w:r>
      <w:r>
        <w:rPr>
          <w:rtl w:val="true"/>
        </w:rPr>
        <w:t>مطابقة مؤكدة</w:t>
      </w:r>
      <w:r>
        <w:rPr>
          <w:rtl w:val="true"/>
        </w:rPr>
        <w:t>» / «</w:t>
      </w:r>
      <w:r>
        <w:rPr>
          <w:rtl w:val="true"/>
        </w:rPr>
        <w:t>يحتاج مراجعة</w:t>
      </w:r>
      <w:r>
        <w:rPr>
          <w:rtl w:val="true"/>
        </w:rPr>
        <w:t>» / «</w:t>
      </w:r>
      <w:r>
        <w:rPr>
          <w:rtl w:val="true"/>
        </w:rPr>
        <w:t>شكل غير معروف</w:t>
      </w:r>
      <w:r>
        <w:rPr/>
        <w:t>»), the two bars (vote confidence and closest similarity), the list of nearest documents with their similarity, and the four header values with their confidence. Values that failed validation are shown in amber with «</w:t>
      </w:r>
      <w:r>
        <w:rPr>
          <w:rtl w:val="true"/>
        </w:rPr>
        <w:t>لم يجتز التحقق</w:t>
      </w:r>
      <w:r>
        <w:rPr/>
        <w:t xml:space="preserve">». </w:t>
      </w:r>
    </w:p>
    <w:p>
      <w:pPr>
        <w:pStyle w:val="BodyText"/>
        <w:numPr>
          <w:ilvl w:val="0"/>
          <w:numId w:val="4"/>
        </w:numPr>
        <w:tabs>
          <w:tab w:val="clear" w:pos="1134"/>
          <w:tab w:val="left" w:pos="789" w:leader="none"/>
        </w:tabs>
        <w:bidi w:val="0"/>
        <w:spacing w:before="80" w:after="0"/>
        <w:ind w:hanging="283" w:left="789"/>
        <w:rPr/>
      </w:pPr>
      <w:r>
        <w:rPr/>
        <w:t>Now upload a document of a layout the system has never seen (any unrelated page). Expected: «</w:t>
      </w:r>
      <w:r>
        <w:rPr>
          <w:rtl w:val="true"/>
        </w:rPr>
        <w:t>شكل غير معروف</w:t>
      </w:r>
      <w:r>
        <w:rPr/>
        <w:t xml:space="preserve">». This is the safety behaviour: an unknown format goes to a person. </w:t>
      </w:r>
    </w:p>
    <w:p>
      <w:pPr>
        <w:pStyle w:val="BodyText"/>
        <w:numPr>
          <w:ilvl w:val="0"/>
          <w:numId w:val="4"/>
        </w:numPr>
        <w:tabs>
          <w:tab w:val="clear" w:pos="1134"/>
          <w:tab w:val="left" w:pos="789" w:leader="none"/>
        </w:tabs>
        <w:bidi w:val="0"/>
        <w:ind w:hanging="283" w:left="789"/>
        <w:rPr/>
      </w:pPr>
      <w:r>
        <w:rPr/>
        <w:t xml:space="preserve">Upload a new version of a document with a different page. Expected: the panel shows a stale warning, then, after recalculation, the prediction follows the new page. </w:t>
      </w:r>
    </w:p>
    <w:p>
      <w:pPr>
        <w:pStyle w:val="Heading2"/>
        <w:bidi w:val="0"/>
        <w:jc w:val="left"/>
        <w:rPr/>
      </w:pPr>
      <w:r>
        <w:rPr/>
        <w:t>7. Test the switch</w:t>
      </w:r>
    </w:p>
    <w:p>
      <w:pPr>
        <w:pStyle w:val="BodyText"/>
        <w:numPr>
          <w:ilvl w:val="0"/>
          <w:numId w:val="5"/>
        </w:numPr>
        <w:tabs>
          <w:tab w:val="clear" w:pos="1134"/>
          <w:tab w:val="left" w:pos="789" w:leader="none"/>
        </w:tabs>
        <w:bidi w:val="0"/>
        <w:spacing w:before="80" w:after="0"/>
        <w:ind w:hanging="283" w:left="789"/>
        <w:rPr/>
      </w:pPr>
      <w:r>
        <w:rPr/>
        <w:t xml:space="preserve">Set the setting back to </w:t>
      </w:r>
      <w:r>
        <w:rPr>
          <w:bCs/>
          <w:rtl w:val="true"/>
        </w:rPr>
        <w:t>لا</w:t>
      </w:r>
      <w:r>
        <w:rPr/>
        <w:t xml:space="preserve"> </w:t>
      </w:r>
      <w:r>
        <w:rPr/>
        <w:t xml:space="preserve">(or press its revert button). </w:t>
      </w:r>
    </w:p>
    <w:p>
      <w:pPr>
        <w:pStyle w:val="BodyText"/>
        <w:numPr>
          <w:ilvl w:val="0"/>
          <w:numId w:val="5"/>
        </w:numPr>
        <w:tabs>
          <w:tab w:val="clear" w:pos="1134"/>
          <w:tab w:val="left" w:pos="789" w:leader="none"/>
        </w:tabs>
        <w:bidi w:val="0"/>
        <w:spacing w:before="80" w:after="0"/>
        <w:ind w:hanging="283" w:left="789"/>
        <w:rPr/>
      </w:pPr>
      <w:r>
        <w:rPr/>
        <w:t xml:space="preserve">Expected: the pilot tab shows the yellow banner again and its buttons are disabled; the </w:t>
      </w:r>
      <w:r>
        <w:rPr>
          <w:bCs/>
          <w:rtl w:val="true"/>
        </w:rPr>
        <w:t>التعرّف</w:t>
      </w:r>
      <w:r>
        <w:rPr/>
        <w:t xml:space="preserve"> </w:t>
      </w:r>
      <w:r>
        <w:rPr/>
        <w:t xml:space="preserve">tab disappears from documents; a new upload is not queued (the waiting tile stays at 0 when you switch back on and refresh). </w:t>
      </w:r>
    </w:p>
    <w:p>
      <w:pPr>
        <w:pStyle w:val="BodyText"/>
        <w:numPr>
          <w:ilvl w:val="0"/>
          <w:numId w:val="5"/>
        </w:numPr>
        <w:tabs>
          <w:tab w:val="clear" w:pos="1134"/>
          <w:tab w:val="left" w:pos="789" w:leader="none"/>
        </w:tabs>
        <w:bidi w:val="0"/>
        <w:ind w:hanging="283" w:left="789"/>
        <w:rPr/>
      </w:pPr>
      <w:r>
        <w:rPr/>
        <w:t xml:space="preserve">Switch it on again. Expected: everything computed before is still there; nothing was discarded. </w:t>
      </w:r>
    </w:p>
    <w:p>
      <w:pPr>
        <w:pStyle w:val="Heading2"/>
        <w:bidi w:val="0"/>
        <w:jc w:val="left"/>
        <w:rPr/>
      </w:pPr>
      <w:r>
        <w:rPr/>
        <w:t>8. What to record</w:t>
      </w:r>
    </w:p>
    <w:p>
      <w:pPr>
        <w:pStyle w:val="BodyText"/>
        <w:bidi w:val="0"/>
        <w:rPr/>
      </w:pPr>
      <w:r>
        <w:rPr/>
        <w:t>Copy these two tables into the test report, once per batch of scans.</w:t>
      </w:r>
    </w:p>
    <w:tbl>
      <w:tblPr>
        <w:tblW w:w="5000" w:type="pct"/>
        <w:jc w:val="left"/>
        <w:tblInd w:w="60" w:type="dxa"/>
        <w:tblLayout w:type="fixed"/>
        <w:tblCellMar>
          <w:top w:w="60" w:type="dxa"/>
          <w:left w:w="60" w:type="dxa"/>
          <w:bottom w:w="60" w:type="dxa"/>
          <w:right w:w="60" w:type="dxa"/>
        </w:tblCellMar>
      </w:tblPr>
      <w:tblGrid>
        <w:gridCol w:w="2721"/>
        <w:gridCol w:w="1360"/>
        <w:gridCol w:w="1361"/>
        <w:gridCol w:w="1360"/>
        <w:gridCol w:w="1361"/>
        <w:gridCol w:w="3175"/>
      </w:tblGrid>
      <w:tr>
        <w:trPr/>
        <w:tc>
          <w:tcPr>
            <w:tcW w:w="272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Type</w:t>
            </w:r>
          </w:p>
        </w:tc>
        <w:tc>
          <w:tcPr>
            <w:tcW w:w="136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Samples</w:t>
            </w:r>
          </w:p>
        </w:tc>
        <w:tc>
          <w:tcPr>
            <w:tcW w:w="13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Recall</w:t>
            </w:r>
          </w:p>
        </w:tc>
        <w:tc>
          <w:tcPr>
            <w:tcW w:w="136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Precision</w:t>
            </w:r>
          </w:p>
        </w:tc>
        <w:tc>
          <w:tcPr>
            <w:tcW w:w="13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Unknown</w:t>
            </w:r>
          </w:p>
        </w:tc>
        <w:tc>
          <w:tcPr>
            <w:tcW w:w="31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Notes</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 </w:t>
            </w:r>
          </w:p>
        </w:tc>
        <w:tc>
          <w:tcPr>
            <w:tcW w:w="1360"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36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360"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36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r>
      <w:tr>
        <w:trPr/>
        <w:tc>
          <w:tcPr>
            <w:tcW w:w="2721"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 </w:t>
            </w:r>
          </w:p>
        </w:tc>
        <w:tc>
          <w:tcPr>
            <w:tcW w:w="1360"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36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360"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361"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3175"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r>
      <w:tr>
        <w:trPr/>
        <w:tc>
          <w:tcPr>
            <w:tcW w:w="2721" w:type="dxa"/>
            <w:tcBorders>
              <w:left w:val="single" w:sz="6" w:space="0" w:color="808080"/>
              <w:bottom w:val="single" w:sz="6" w:space="0" w:color="808080"/>
              <w:right w:val="single" w:sz="6" w:space="0" w:color="808080"/>
            </w:tcBorders>
            <w:vAlign w:val="center"/>
          </w:tcPr>
          <w:p>
            <w:pPr>
              <w:pStyle w:val="TableContents"/>
              <w:bidi w:val="0"/>
              <w:spacing w:before="80" w:after="80"/>
              <w:rPr/>
            </w:pPr>
            <w:r>
              <w:rPr/>
              <w:t> </w:t>
            </w:r>
          </w:p>
        </w:tc>
        <w:tc>
          <w:tcPr>
            <w:tcW w:w="1360"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c>
          <w:tcPr>
            <w:tcW w:w="1361"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c>
          <w:tcPr>
            <w:tcW w:w="1360"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c>
          <w:tcPr>
            <w:tcW w:w="1361"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c>
          <w:tcPr>
            <w:tcW w:w="3175"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r>
    </w:tbl>
    <w:p>
      <w:pPr>
        <w:pStyle w:val="BodyText"/>
        <w:bidi w:val="0"/>
        <w:rPr/>
      </w:pPr>
      <w:r>
        <w:rPr/>
        <w:t> </w:t>
      </w:r>
    </w:p>
    <w:tbl>
      <w:tblPr>
        <w:tblW w:w="5000" w:type="pct"/>
        <w:jc w:val="left"/>
        <w:tblInd w:w="60" w:type="dxa"/>
        <w:tblLayout w:type="fixed"/>
        <w:tblCellMar>
          <w:top w:w="60" w:type="dxa"/>
          <w:left w:w="60" w:type="dxa"/>
          <w:bottom w:w="60" w:type="dxa"/>
          <w:right w:w="60" w:type="dxa"/>
        </w:tblCellMar>
      </w:tblPr>
      <w:tblGrid>
        <w:gridCol w:w="2495"/>
        <w:gridCol w:w="1247"/>
        <w:gridCol w:w="1247"/>
        <w:gridCol w:w="1133"/>
        <w:gridCol w:w="1133"/>
        <w:gridCol w:w="1134"/>
        <w:gridCol w:w="2949"/>
      </w:tblGrid>
      <w:tr>
        <w:trPr/>
        <w:tc>
          <w:tcPr>
            <w:tcW w:w="249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Header field</w:t>
            </w:r>
          </w:p>
        </w:tc>
        <w:tc>
          <w:tcPr>
            <w:tcW w:w="12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Read on</w:t>
            </w:r>
          </w:p>
        </w:tc>
        <w:tc>
          <w:tcPr>
            <w:tcW w:w="12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Compared</w:t>
            </w:r>
          </w:p>
        </w:tc>
        <w:tc>
          <w:tcPr>
            <w:tcW w:w="113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Match</w:t>
            </w:r>
          </w:p>
        </w:tc>
        <w:tc>
          <w:tcPr>
            <w:tcW w:w="113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Close</w:t>
            </w:r>
          </w:p>
        </w:tc>
        <w:tc>
          <w:tcPr>
            <w:tcW w:w="113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Miss</w:t>
            </w:r>
          </w:p>
        </w:tc>
        <w:tc>
          <w:tcPr>
            <w:tcW w:w="29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Typical failure</w:t>
            </w:r>
          </w:p>
        </w:tc>
      </w:tr>
      <w:tr>
        <w:trPr/>
        <w:tc>
          <w:tcPr>
            <w:tcW w:w="2495"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رقم الكتاب</w:t>
            </w:r>
          </w:p>
        </w:tc>
        <w:tc>
          <w:tcPr>
            <w:tcW w:w="1247"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247"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133"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133"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134"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2949"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r>
      <w:tr>
        <w:trPr/>
        <w:tc>
          <w:tcPr>
            <w:tcW w:w="2495"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التاريخ</w:t>
            </w:r>
          </w:p>
        </w:tc>
        <w:tc>
          <w:tcPr>
            <w:tcW w:w="1247"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247"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133"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133"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134"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2949"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r>
      <w:tr>
        <w:trPr/>
        <w:tc>
          <w:tcPr>
            <w:tcW w:w="2495"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الموضوع</w:t>
            </w:r>
          </w:p>
        </w:tc>
        <w:tc>
          <w:tcPr>
            <w:tcW w:w="1247"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247"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133"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133"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1134"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c>
          <w:tcPr>
            <w:tcW w:w="2949"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w:t>
            </w:r>
          </w:p>
        </w:tc>
      </w:tr>
      <w:tr>
        <w:trPr/>
        <w:tc>
          <w:tcPr>
            <w:tcW w:w="2495" w:type="dxa"/>
            <w:tcBorders>
              <w:left w:val="single" w:sz="6" w:space="0" w:color="808080"/>
              <w:bottom w:val="single" w:sz="6" w:space="0" w:color="808080"/>
              <w:right w:val="single" w:sz="6" w:space="0" w:color="808080"/>
            </w:tcBorders>
            <w:vAlign w:val="center"/>
          </w:tcPr>
          <w:p>
            <w:pPr>
              <w:pStyle w:val="TableContents"/>
              <w:bidi w:val="0"/>
              <w:spacing w:before="80" w:after="80"/>
              <w:rPr/>
            </w:pPr>
            <w:r>
              <w:rPr>
                <w:rtl w:val="true"/>
              </w:rPr>
              <w:t>الجهة الموجّه إليها</w:t>
            </w:r>
          </w:p>
        </w:tc>
        <w:tc>
          <w:tcPr>
            <w:tcW w:w="1247"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c>
          <w:tcPr>
            <w:tcW w:w="1247"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c>
          <w:tcPr>
            <w:tcW w:w="1133"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c>
          <w:tcPr>
            <w:tcW w:w="1133"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c>
          <w:tcPr>
            <w:tcW w:w="1134"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c>
          <w:tcPr>
            <w:tcW w:w="2949"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 </w:t>
            </w:r>
          </w:p>
        </w:tc>
      </w:tr>
    </w:tbl>
    <w:p>
      <w:pPr>
        <w:pStyle w:val="BodyText"/>
        <w:bidi w:val="0"/>
        <w:rPr/>
      </w:pPr>
      <w:r>
        <w:rPr/>
        <w:t>Also note the automation-curve row the customer would accept, and the number of documents that reached «</w:t>
      </w:r>
      <w:r>
        <w:rPr>
          <w:rtl w:val="true"/>
        </w:rPr>
        <w:t>شكل مجهول</w:t>
      </w:r>
      <w:r>
        <w:rPr/>
        <w:t>».</w:t>
      </w:r>
    </w:p>
    <w:tbl>
      <w:tblPr>
        <w:tblW w:w="5000" w:type="pct"/>
        <w:jc w:val="left"/>
        <w:tblInd w:w="90" w:type="dxa"/>
        <w:tblLayout w:type="fixed"/>
        <w:tblCellMar>
          <w:top w:w="90" w:type="dxa"/>
          <w:left w:w="90" w:type="dxa"/>
          <w:bottom w:w="90" w:type="dxa"/>
          <w:right w:w="90" w:type="dxa"/>
        </w:tblCellMar>
      </w:tblPr>
      <w:tblGrid>
        <w:gridCol w:w="11339"/>
      </w:tblGrid>
      <w:tr>
        <w:trPr/>
        <w:tc>
          <w:tcPr>
            <w:tcW w:w="11339" w:type="dxa"/>
            <w:tcBorders>
              <w:top w:val="single" w:sz="6" w:space="0" w:color="808080"/>
              <w:left w:val="single" w:sz="6" w:space="0" w:color="808080"/>
              <w:bottom w:val="single" w:sz="6" w:space="0" w:color="808080"/>
              <w:right w:val="single" w:sz="6" w:space="0" w:color="808080"/>
            </w:tcBorders>
            <w:shd w:fill="FFF8E6" w:val="clear"/>
            <w:vAlign w:val="center"/>
          </w:tcPr>
          <w:p>
            <w:pPr>
              <w:pStyle w:val="TableContents"/>
              <w:bidi w:val="0"/>
              <w:spacing w:before="80" w:after="80"/>
              <w:ind w:hanging="0" w:left="0" w:right="0"/>
              <w:rPr/>
            </w:pPr>
            <w:r>
              <w:rPr>
                <w:b/>
              </w:rPr>
              <w:t>Two things the pilot cannot do</w:t>
            </w:r>
            <w:r>
              <w:rPr/>
              <w:t>, and the test should show them rather than hide them: handwriting is not read (a handwritten number, date or incoming stamp shows «</w:t>
            </w:r>
            <w:r>
              <w:rPr>
                <w:rtl w:val="true"/>
              </w:rPr>
              <w:t>لم يُعثر عليه</w:t>
            </w:r>
            <w:r>
              <w:rPr/>
              <w:t>»), and Arabic-Indic digits (</w:t>
            </w:r>
            <w:r>
              <w:rPr/>
              <w:t>١٢٣٤</w:t>
            </w:r>
            <w:r>
              <w:rPr/>
              <w:t>) are read inconsistently depending on the font. If the customer's headers use them, the number and date rows will say so.</w:t>
            </w:r>
          </w:p>
        </w:tc>
      </w:tr>
    </w:tbl>
    <w:p>
      <w:pPr>
        <w:pStyle w:val="Heading2"/>
        <w:bidi w:val="0"/>
        <w:jc w:val="left"/>
        <w:rPr/>
      </w:pPr>
      <w:r>
        <w:rPr/>
        <w:t>9. If something looks wrong</w:t>
      </w:r>
    </w:p>
    <w:tbl>
      <w:tblPr>
        <w:tblW w:w="5000" w:type="pct"/>
        <w:jc w:val="left"/>
        <w:tblInd w:w="60" w:type="dxa"/>
        <w:tblLayout w:type="fixed"/>
        <w:tblCellMar>
          <w:top w:w="60" w:type="dxa"/>
          <w:left w:w="60" w:type="dxa"/>
          <w:bottom w:w="60" w:type="dxa"/>
          <w:right w:w="60" w:type="dxa"/>
        </w:tblCellMar>
      </w:tblPr>
      <w:tblGrid>
        <w:gridCol w:w="4082"/>
        <w:gridCol w:w="7256"/>
      </w:tblGrid>
      <w:tr>
        <w:trPr/>
        <w:tc>
          <w:tcPr>
            <w:tcW w:w="408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Symptom</w:t>
            </w:r>
          </w:p>
        </w:tc>
        <w:tc>
          <w:tcPr>
            <w:tcW w:w="725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6EDF7" w:val="clear"/>
              <w:bidi w:val="0"/>
              <w:spacing w:before="80" w:after="80"/>
              <w:jc w:val="left"/>
              <w:rPr/>
            </w:pPr>
            <w:r>
              <w:rPr/>
              <w:t>Cause and remedy</w:t>
            </w:r>
          </w:p>
        </w:tc>
      </w:tr>
      <w:tr>
        <w:trPr/>
        <w:tc>
          <w:tcPr>
            <w:tcW w:w="4082"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 xml:space="preserve">Setting row missing in </w:t>
            </w:r>
            <w:r>
              <w:rPr>
                <w:rtl w:val="true"/>
              </w:rPr>
              <w:t>المعالجة</w:t>
            </w:r>
          </w:p>
        </w:tc>
        <w:tc>
          <w:tcPr>
            <w:tcW w:w="725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API process started before the change. Restart it.</w:t>
            </w:r>
          </w:p>
        </w:tc>
      </w:tr>
      <w:tr>
        <w:trPr/>
        <w:tc>
          <w:tcPr>
            <w:tcW w:w="4082"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Banner: tool missing</w:t>
            </w:r>
          </w:p>
        </w:tc>
        <w:tc>
          <w:tcPr>
            <w:tcW w:w="725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xml:space="preserve">Tesseract, its Arabic data, or Ghostscript is not installed on the server. Check </w:t>
            </w:r>
            <w:r>
              <w:rPr>
                <w:bCs/>
                <w:rtl w:val="true"/>
              </w:rPr>
              <w:t>التشخيص</w:t>
            </w:r>
            <w:r>
              <w:rPr/>
              <w:t>.</w:t>
            </w:r>
          </w:p>
        </w:tc>
      </w:tr>
      <w:tr>
        <w:trPr/>
        <w:tc>
          <w:tcPr>
            <w:tcW w:w="4082"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rtl w:val="true"/>
              </w:rPr>
              <w:t>احسب النتائج</w:t>
            </w:r>
            <w:r>
              <w:rPr/>
              <w:t xml:space="preserve"> </w:t>
            </w:r>
            <w:r>
              <w:rPr/>
              <w:t>disabled</w:t>
            </w:r>
          </w:p>
        </w:tc>
        <w:tc>
          <w:tcPr>
            <w:tcW w:w="725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Fewer than two documents with a type and a fingerprint. Type more documents or wait for the queue.</w:t>
            </w:r>
          </w:p>
        </w:tc>
      </w:tr>
      <w:tr>
        <w:trPr/>
        <w:tc>
          <w:tcPr>
            <w:tcW w:w="4082"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 xml:space="preserve">Every header field says </w:t>
            </w:r>
            <w:r>
              <w:rPr>
                <w:rtl w:val="true"/>
              </w:rPr>
              <w:t>لم يُعثر عليه</w:t>
            </w:r>
          </w:p>
        </w:tc>
        <w:tc>
          <w:tcPr>
            <w:tcW w:w="725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The page has no printed labels (</w:t>
            </w:r>
            <w:r>
              <w:rPr>
                <w:rtl w:val="true"/>
              </w:rPr>
              <w:t>العدد</w:t>
            </w:r>
            <w:r>
              <w:rPr>
                <w:rtl w:val="true"/>
              </w:rPr>
              <w:t xml:space="preserve">, </w:t>
            </w:r>
            <w:r>
              <w:rPr>
                <w:rtl w:val="true"/>
              </w:rPr>
              <w:t>التاريخ</w:t>
            </w:r>
            <w:r>
              <w:rPr>
                <w:rtl w:val="true"/>
              </w:rPr>
              <w:t xml:space="preserve">, </w:t>
            </w:r>
            <w:r>
              <w:rPr>
                <w:rtl w:val="true"/>
              </w:rPr>
              <w:t>الموضوع</w:t>
            </w:r>
            <w:r>
              <w:rPr>
                <w:rtl w:val="true"/>
              </w:rPr>
              <w:t xml:space="preserve">, </w:t>
            </w:r>
            <w:r>
              <w:rPr>
                <w:rtl w:val="true"/>
              </w:rPr>
              <w:t>إلى</w:t>
            </w:r>
            <w:r>
              <w:rPr/>
              <w:t>), or the header is handwritten, or the page was read at the wrong orientation. Open the document and check the OCR word count in the panel footer.</w:t>
            </w:r>
          </w:p>
        </w:tc>
      </w:tr>
      <w:tr>
        <w:trPr/>
        <w:tc>
          <w:tcPr>
            <w:tcW w:w="4082" w:type="dxa"/>
            <w:tcBorders>
              <w:left w:val="single" w:sz="6" w:space="0" w:color="808080"/>
              <w:bottom w:val="single" w:sz="2" w:space="0" w:color="808080"/>
              <w:right w:val="single" w:sz="6" w:space="0" w:color="808080"/>
            </w:tcBorders>
            <w:vAlign w:val="center"/>
          </w:tcPr>
          <w:p>
            <w:pPr>
              <w:pStyle w:val="TableContents"/>
              <w:bidi w:val="0"/>
              <w:spacing w:before="80" w:after="80"/>
              <w:rPr/>
            </w:pPr>
            <w:r>
              <w:rPr/>
              <w:t>A job stuck in the queue</w:t>
            </w:r>
          </w:p>
        </w:tc>
        <w:tc>
          <w:tcPr>
            <w:tcW w:w="7256" w:type="dxa"/>
            <w:tcBorders>
              <w:left w:val="single" w:sz="2" w:space="0" w:color="808080"/>
              <w:bottom w:val="single" w:sz="2" w:space="0" w:color="808080"/>
              <w:right w:val="single" w:sz="6" w:space="0" w:color="808080"/>
            </w:tcBorders>
            <w:vAlign w:val="center"/>
          </w:tcPr>
          <w:p>
            <w:pPr>
              <w:pStyle w:val="TableContents"/>
              <w:bidi w:val="0"/>
              <w:spacing w:before="80" w:after="80"/>
              <w:rPr/>
            </w:pPr>
            <w:r>
              <w:rPr/>
              <w:t xml:space="preserve">The worker re-takes abandoned jobs after 20 minutes; a restart also clears it. The reason appears under </w:t>
            </w:r>
            <w:r>
              <w:rPr>
                <w:rtl w:val="true"/>
              </w:rPr>
              <w:t>مهام لم تكتمل</w:t>
            </w:r>
            <w:r>
              <w:rPr/>
              <w:t>.</w:t>
            </w:r>
          </w:p>
        </w:tc>
      </w:tr>
      <w:tr>
        <w:trPr/>
        <w:tc>
          <w:tcPr>
            <w:tcW w:w="4082" w:type="dxa"/>
            <w:tcBorders>
              <w:left w:val="single" w:sz="6" w:space="0" w:color="808080"/>
              <w:bottom w:val="single" w:sz="6" w:space="0" w:color="808080"/>
              <w:right w:val="single" w:sz="6" w:space="0" w:color="808080"/>
            </w:tcBorders>
            <w:vAlign w:val="center"/>
          </w:tcPr>
          <w:p>
            <w:pPr>
              <w:pStyle w:val="TableContents"/>
              <w:bidi w:val="0"/>
              <w:spacing w:before="80" w:after="80"/>
              <w:rPr/>
            </w:pPr>
            <w:r>
              <w:rPr/>
              <w:t>Numbers change after adding documents</w:t>
            </w:r>
          </w:p>
        </w:tc>
        <w:tc>
          <w:tcPr>
            <w:tcW w:w="7256" w:type="dxa"/>
            <w:tcBorders>
              <w:left w:val="single" w:sz="2" w:space="0" w:color="808080"/>
              <w:bottom w:val="single" w:sz="6" w:space="0" w:color="808080"/>
              <w:right w:val="single" w:sz="6" w:space="0" w:color="808080"/>
            </w:tcBorders>
            <w:vAlign w:val="center"/>
          </w:tcPr>
          <w:p>
            <w:pPr>
              <w:pStyle w:val="TableContents"/>
              <w:bidi w:val="0"/>
              <w:spacing w:before="80" w:after="80"/>
              <w:rPr/>
            </w:pPr>
            <w:r>
              <w:rPr/>
              <w:t>Expected. Every typed document is a training sample, so the results are recomputed from the current set.</w:t>
            </w:r>
          </w:p>
        </w:tc>
      </w:tr>
    </w:tbl>
    <w:p>
      <w:pPr>
        <w:pStyle w:val="Heading2"/>
        <w:bidi w:val="0"/>
        <w:jc w:val="left"/>
        <w:rPr/>
      </w:pPr>
      <w:r>
        <w:rPr/>
        <w:t>10. Not part of the pilot</w:t>
      </w:r>
    </w:p>
    <w:p>
      <w:pPr>
        <w:pStyle w:val="BodyText"/>
        <w:bidi w:val="0"/>
        <w:spacing w:before="80" w:after="80"/>
        <w:rPr/>
      </w:pPr>
      <w:r>
        <w:rPr/>
        <w:t>Routing by department, automatic approval requests, writing header values into the metadata, review queues and separator sheets for feeder stacks are deliberately not built. Each waits on the numbers this test produces. Full detail: docs/CLASSIFICATION_PILOT.md in the repository.</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Calibri;Arial;sans-serif" w:hAnsi="Calibri;Arial;sans-serif" w:eastAsia="Calibri;Arial;sans-serif" w:cs="Calibri;Arial;sans-serif"/>
      <w:color w:val="auto"/>
      <w:sz w:val="22"/>
      <w:szCs w:val="22"/>
      <w:lang w:val="en-US" w:eastAsia="zh-CN" w:bidi="hi-IN"/>
    </w:rPr>
  </w:style>
  <w:style w:type="paragraph" w:styleId="Heading1">
    <w:name w:val="heading 1"/>
    <w:basedOn w:val="Heading"/>
    <w:next w:val="BodyText"/>
    <w:qFormat/>
    <w:pPr>
      <w:spacing w:before="240" w:after="80"/>
      <w:jc w:val="left"/>
    </w:pPr>
    <w:rPr>
      <w:b/>
      <w:bCs/>
      <w:color w:val="1A3F6E"/>
      <w:sz w:val="40"/>
      <w:szCs w:val="40"/>
    </w:rPr>
  </w:style>
  <w:style w:type="paragraph" w:styleId="Heading2">
    <w:name w:val="heading 2"/>
    <w:basedOn w:val="Heading"/>
    <w:next w:val="BodyText"/>
    <w:qFormat/>
    <w:pPr>
      <w:spacing w:before="280" w:after="80"/>
      <w:ind w:left="280" w:right="280"/>
      <w:jc w:val="left"/>
      <w:outlineLvl w:val="1"/>
    </w:pPr>
    <w:rPr>
      <w:rFonts w:ascii="Liberation Serif" w:hAnsi="Liberation Serif" w:eastAsia="NSimSun" w:cs="Lucida Sans"/>
      <w:b/>
      <w:bCs/>
      <w:color w:val="1A3F6E"/>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80" w:after="80"/>
      <w:ind w:left="80" w:right="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mall">
    <w:name w:val="Body Text.small"/>
    <w:basedOn w:val="BodyText"/>
    <w:qFormat/>
    <w:pPr/>
    <w:rPr>
      <w:color w:val="555555"/>
      <w:sz w:val="18"/>
      <w:szCs w:val="18"/>
    </w:rPr>
  </w:style>
  <w:style w:type="paragraph" w:styleId="TableHeading">
    <w:name w:val="Table Heading"/>
    <w:basedOn w:val="TableContents"/>
    <w:qFormat/>
    <w:pPr>
      <w:suppressLineNumbers/>
      <w:shd w:fill="E6EDF7" w:val="clear"/>
      <w:jc w:val="left"/>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 Recognition Pilot - Test Guide</dc:title>
</cp:coreProperties>
</file>

<file path=docProps/custom.xml><?xml version="1.0" encoding="utf-8"?>
<Properties xmlns="http://schemas.openxmlformats.org/officeDocument/2006/custom-properties" xmlns:vt="http://schemas.openxmlformats.org/officeDocument/2006/docPropsVTypes"/>
</file>