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1AEE5">
      <w:pPr>
        <w:pStyle w:val="2"/>
        <w:jc w:val="center"/>
        <w:rPr>
          <w:b/>
          <w:bCs/>
          <w:color w:val="000000" w:themeColor="text1"/>
          <w14:textFill>
            <w14:solidFill>
              <w14:schemeClr w14:val="tx1"/>
            </w14:solidFill>
          </w14:textFill>
        </w:rPr>
      </w:pPr>
      <w:r>
        <w:rPr>
          <w:b/>
          <w:bCs/>
          <w:color w:val="000000" w:themeColor="text1"/>
          <w14:textFill>
            <w14:solidFill>
              <w14:schemeClr w14:val="tx1"/>
            </w14:solidFill>
          </w14:textFill>
        </w:rPr>
        <w:t>Regression Model Comparison Report</w:t>
      </w:r>
    </w:p>
    <w:p w14:paraId="55F88753">
      <w:pPr>
        <w:rPr>
          <w:color w:val="000000" w:themeColor="text1"/>
          <w14:textFill>
            <w14:solidFill>
              <w14:schemeClr w14:val="tx1"/>
            </w14:solidFill>
          </w14:textFill>
        </w:rPr>
      </w:pPr>
    </w:p>
    <w:p w14:paraId="1E50419B">
      <w:pPr>
        <w:rPr>
          <w:color w:val="000000" w:themeColor="text1"/>
          <w14:textFill>
            <w14:solidFill>
              <w14:schemeClr w14:val="tx1"/>
            </w14:solidFill>
          </w14:textFill>
        </w:rPr>
      </w:pPr>
    </w:p>
    <w:p w14:paraId="4C8A4575">
      <w:pPr>
        <w:rPr>
          <w:color w:val="000000" w:themeColor="text1"/>
          <w14:textFill>
            <w14:solidFill>
              <w14:schemeClr w14:val="tx1"/>
            </w14:solidFill>
          </w14:textFill>
        </w:rPr>
      </w:pPr>
      <w:r>
        <w:rPr>
          <w:b/>
          <w:color w:val="000000" w:themeColor="text1"/>
          <w14:textFill>
            <w14:solidFill>
              <w14:schemeClr w14:val="tx1"/>
            </w14:solidFill>
          </w14:textFill>
        </w:rPr>
        <w:t>Problem Definition</w:t>
      </w:r>
      <w:r>
        <w:rPr>
          <w:b/>
          <w:color w:val="000000" w:themeColor="text1"/>
          <w14:textFill>
            <w14:solidFill>
              <w14:schemeClr w14:val="tx1"/>
            </w14:solidFill>
          </w14:textFill>
        </w:rPr>
        <w:br w:type="textWrapping"/>
      </w:r>
      <w:r>
        <w:rPr>
          <w:color w:val="000000" w:themeColor="text1"/>
          <w14:textFill>
            <w14:solidFill>
              <w14:schemeClr w14:val="tx1"/>
            </w14:solidFill>
          </w14:textFill>
        </w:rPr>
        <w:t>This project focuses on predicting continuous medical insurance charges using regression algorithms. The objective is to compare multiple machine learning models and identify the most accurate model based on prediction performance. Regression is appropriate because the target variable (charges) is continuous. The study evaluates classical linear models and ensemble-based methods while examining preprocessing, cross-validation, residual analysis, and model behavior.</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color w:val="000000" w:themeColor="text1"/>
          <w14:textFill>
            <w14:solidFill>
              <w14:schemeClr w14:val="tx1"/>
            </w14:solidFill>
          </w14:textFill>
        </w:rPr>
        <w:t>Dataset Description</w:t>
      </w:r>
      <w:r>
        <w:rPr>
          <w:b/>
          <w:color w:val="000000" w:themeColor="text1"/>
          <w14:textFill>
            <w14:solidFill>
              <w14:schemeClr w14:val="tx1"/>
            </w14:solidFill>
          </w14:textFill>
        </w:rPr>
        <w:br w:type="textWrapping"/>
      </w:r>
      <w:r>
        <w:rPr>
          <w:color w:val="000000" w:themeColor="text1"/>
          <w14:textFill>
            <w14:solidFill>
              <w14:schemeClr w14:val="tx1"/>
            </w14:solidFill>
          </w14:textFill>
        </w:rPr>
        <w:t>The Medical Cost Personal Dataset contains demographic and health-related information including age, sex, BMI, number of children, smoking status, and region. The dependent variable is insurance charges. The dataset contains 1,338 records and six input features.</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F25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D0E78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Feature</w:t>
            </w:r>
          </w:p>
        </w:tc>
        <w:tc>
          <w:tcPr>
            <w:tcW w:w="4320" w:type="dxa"/>
          </w:tcPr>
          <w:p w14:paraId="7797E32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Description</w:t>
            </w:r>
          </w:p>
        </w:tc>
      </w:tr>
      <w:tr w14:paraId="35CC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C0FBDD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age</w:t>
            </w:r>
          </w:p>
        </w:tc>
        <w:tc>
          <w:tcPr>
            <w:tcW w:w="4320" w:type="dxa"/>
          </w:tcPr>
          <w:p w14:paraId="14D0B12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Age of customer</w:t>
            </w:r>
          </w:p>
        </w:tc>
      </w:tr>
      <w:tr w14:paraId="5E30E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F43D95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sex</w:t>
            </w:r>
          </w:p>
        </w:tc>
        <w:tc>
          <w:tcPr>
            <w:tcW w:w="4320" w:type="dxa"/>
          </w:tcPr>
          <w:p w14:paraId="715E339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Gender</w:t>
            </w:r>
          </w:p>
        </w:tc>
      </w:tr>
      <w:tr w14:paraId="2B10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C9B15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bmi</w:t>
            </w:r>
          </w:p>
        </w:tc>
        <w:tc>
          <w:tcPr>
            <w:tcW w:w="4320" w:type="dxa"/>
          </w:tcPr>
          <w:p w14:paraId="2E00C6D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Body Mass Index</w:t>
            </w:r>
          </w:p>
        </w:tc>
      </w:tr>
      <w:tr w14:paraId="4238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26A1FA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children</w:t>
            </w:r>
          </w:p>
        </w:tc>
        <w:tc>
          <w:tcPr>
            <w:tcW w:w="4320" w:type="dxa"/>
          </w:tcPr>
          <w:p w14:paraId="2EB0E16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Number of children</w:t>
            </w:r>
          </w:p>
        </w:tc>
      </w:tr>
      <w:tr w14:paraId="7FC58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68F57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smoker</w:t>
            </w:r>
          </w:p>
        </w:tc>
        <w:tc>
          <w:tcPr>
            <w:tcW w:w="4320" w:type="dxa"/>
          </w:tcPr>
          <w:p w14:paraId="5319196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Smoking status</w:t>
            </w:r>
          </w:p>
        </w:tc>
      </w:tr>
      <w:tr w14:paraId="2757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4F383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region</w:t>
            </w:r>
          </w:p>
        </w:tc>
        <w:tc>
          <w:tcPr>
            <w:tcW w:w="4320" w:type="dxa"/>
          </w:tcPr>
          <w:p w14:paraId="18DC9CF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Residential region</w:t>
            </w:r>
          </w:p>
        </w:tc>
      </w:tr>
      <w:tr w14:paraId="7331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A79C2B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charges</w:t>
            </w:r>
          </w:p>
        </w:tc>
        <w:tc>
          <w:tcPr>
            <w:tcW w:w="4320" w:type="dxa"/>
          </w:tcPr>
          <w:p w14:paraId="3889780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Target variable</w:t>
            </w:r>
          </w:p>
        </w:tc>
      </w:tr>
    </w:tbl>
    <w:p w14:paraId="27A8D592">
      <w:pPr>
        <w:pStyle w:val="3"/>
        <w:rPr>
          <w:color w:val="000000" w:themeColor="text1"/>
          <w14:textFill>
            <w14:solidFill>
              <w14:schemeClr w14:val="tx1"/>
            </w14:solidFill>
          </w14:textFill>
        </w:rPr>
      </w:pPr>
      <w:r>
        <w:rPr>
          <w:color w:val="000000" w:themeColor="text1"/>
          <w14:textFill>
            <w14:solidFill>
              <w14:schemeClr w14:val="tx1"/>
            </w14:solidFill>
          </w14:textFill>
        </w:rPr>
        <w:t>Data Preprocessing</w:t>
      </w:r>
    </w:p>
    <w:p w14:paraId="707F8A78">
      <w:pPr>
        <w:rPr>
          <w:color w:val="000000" w:themeColor="text1"/>
          <w14:textFill>
            <w14:solidFill>
              <w14:schemeClr w14:val="tx1"/>
            </w14:solidFill>
          </w14:textFill>
        </w:rPr>
      </w:pPr>
      <w:r>
        <w:rPr>
          <w:color w:val="000000" w:themeColor="text1"/>
          <w14:textFill>
            <w14:solidFill>
              <w14:schemeClr w14:val="tx1"/>
            </w14:solidFill>
          </w14:textFill>
        </w:rPr>
        <w:t>The data</w:t>
      </w:r>
      <w:r>
        <w:rPr>
          <w:rFonts w:hint="default"/>
          <w:color w:val="000000" w:themeColor="text1"/>
          <w:lang w:val="en-US"/>
          <w14:textFill>
            <w14:solidFill>
              <w14:schemeClr w14:val="tx1"/>
            </w14:solidFill>
          </w14:textFill>
        </w:rPr>
        <w:t xml:space="preserve"> </w:t>
      </w:r>
      <w:r>
        <w:rPr>
          <w:color w:val="000000" w:themeColor="text1"/>
          <w14:textFill>
            <w14:solidFill>
              <w14:schemeClr w14:val="tx1"/>
            </w14:solidFill>
          </w14:textFill>
        </w:rPr>
        <w:t>set was inspected for missing values, duplicates, and inconsistent data types. Categorical variables were transformed using one-hot encoding. Numerical variables were standardized where appropriate. Finally, the data</w:t>
      </w:r>
      <w:r>
        <w:rPr>
          <w:rFonts w:hint="default"/>
          <w:color w:val="000000" w:themeColor="text1"/>
          <w:lang w:val="en-US"/>
          <w14:textFill>
            <w14:solidFill>
              <w14:schemeClr w14:val="tx1"/>
            </w14:solidFill>
          </w14:textFill>
        </w:rPr>
        <w:t xml:space="preserve"> </w:t>
      </w:r>
      <w:r>
        <w:rPr>
          <w:color w:val="000000" w:themeColor="text1"/>
          <w14:textFill>
            <w14:solidFill>
              <w14:schemeClr w14:val="tx1"/>
            </w14:solidFill>
          </w14:textFill>
        </w:rPr>
        <w:t>set was divided into training (80%) and testing (20%) subsets.</w:t>
      </w:r>
    </w:p>
    <w:p w14:paraId="338C6FF0">
      <w:pPr>
        <w:pStyle w:val="3"/>
        <w:rPr>
          <w:color w:val="000000" w:themeColor="text1"/>
          <w14:textFill>
            <w14:solidFill>
              <w14:schemeClr w14:val="tx1"/>
            </w14:solidFill>
          </w14:textFill>
        </w:rPr>
      </w:pPr>
      <w:r>
        <w:rPr>
          <w:color w:val="000000" w:themeColor="text1"/>
          <w14:textFill>
            <w14:solidFill>
              <w14:schemeClr w14:val="tx1"/>
            </w14:solidFill>
          </w14:textFill>
        </w:rPr>
        <w:t>Models</w:t>
      </w:r>
    </w:p>
    <w:p w14:paraId="34AFA38E">
      <w:pPr>
        <w:rPr>
          <w:color w:val="000000" w:themeColor="text1"/>
          <w14:textFill>
            <w14:solidFill>
              <w14:schemeClr w14:val="tx1"/>
            </w14:solidFill>
          </w14:textFill>
        </w:rPr>
      </w:pPr>
      <w:r>
        <w:rPr>
          <w:color w:val="000000" w:themeColor="text1"/>
          <w14:textFill>
            <w14:solidFill>
              <w14:schemeClr w14:val="tx1"/>
            </w14:solidFill>
          </w14:textFill>
        </w:rPr>
        <w:t>Linear Regression was selected as the baseline model. Ridge and Lasso Regression were used to reduce overfitting through regularization. Decision Tree Regression was included to model non-linear relationships. Random Forest and Gradient Boosting were trained as ensemble methods to improve predictive performance.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F698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C6A20D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Model</w:t>
            </w:r>
          </w:p>
        </w:tc>
        <w:tc>
          <w:tcPr>
            <w:tcW w:w="2160" w:type="dxa"/>
          </w:tcPr>
          <w:p w14:paraId="6609DF6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MAE</w:t>
            </w:r>
          </w:p>
        </w:tc>
        <w:tc>
          <w:tcPr>
            <w:tcW w:w="2160" w:type="dxa"/>
          </w:tcPr>
          <w:p w14:paraId="642D4A7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RMSE</w:t>
            </w:r>
          </w:p>
        </w:tc>
        <w:tc>
          <w:tcPr>
            <w:tcW w:w="2160" w:type="dxa"/>
          </w:tcPr>
          <w:p w14:paraId="3764FAB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R²</w:t>
            </w:r>
          </w:p>
        </w:tc>
      </w:tr>
      <w:tr w14:paraId="1C69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EA547B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Linear Regression</w:t>
            </w:r>
          </w:p>
        </w:tc>
        <w:tc>
          <w:tcPr>
            <w:tcW w:w="2160" w:type="dxa"/>
          </w:tcPr>
          <w:p w14:paraId="33F2BCC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4200</w:t>
            </w:r>
          </w:p>
        </w:tc>
        <w:tc>
          <w:tcPr>
            <w:tcW w:w="2160" w:type="dxa"/>
          </w:tcPr>
          <w:p w14:paraId="76DCA93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6000</w:t>
            </w:r>
          </w:p>
        </w:tc>
        <w:tc>
          <w:tcPr>
            <w:tcW w:w="2160" w:type="dxa"/>
          </w:tcPr>
          <w:p w14:paraId="3BB541D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0.78</w:t>
            </w:r>
          </w:p>
        </w:tc>
      </w:tr>
      <w:tr w14:paraId="5F728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9E7DC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Ridge</w:t>
            </w:r>
          </w:p>
        </w:tc>
        <w:tc>
          <w:tcPr>
            <w:tcW w:w="2160" w:type="dxa"/>
          </w:tcPr>
          <w:p w14:paraId="632A864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4180</w:t>
            </w:r>
          </w:p>
        </w:tc>
        <w:tc>
          <w:tcPr>
            <w:tcW w:w="2160" w:type="dxa"/>
          </w:tcPr>
          <w:p w14:paraId="384914A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5980</w:t>
            </w:r>
          </w:p>
        </w:tc>
        <w:tc>
          <w:tcPr>
            <w:tcW w:w="2160" w:type="dxa"/>
          </w:tcPr>
          <w:p w14:paraId="5385501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0.79</w:t>
            </w:r>
          </w:p>
        </w:tc>
      </w:tr>
      <w:tr w14:paraId="4675A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EF7D89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Lasso</w:t>
            </w:r>
          </w:p>
        </w:tc>
        <w:tc>
          <w:tcPr>
            <w:tcW w:w="2160" w:type="dxa"/>
          </w:tcPr>
          <w:p w14:paraId="655DC63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4195</w:t>
            </w:r>
          </w:p>
        </w:tc>
        <w:tc>
          <w:tcPr>
            <w:tcW w:w="2160" w:type="dxa"/>
          </w:tcPr>
          <w:p w14:paraId="467B592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5995</w:t>
            </w:r>
          </w:p>
        </w:tc>
        <w:tc>
          <w:tcPr>
            <w:tcW w:w="2160" w:type="dxa"/>
          </w:tcPr>
          <w:p w14:paraId="4D55747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0.79</w:t>
            </w:r>
          </w:p>
        </w:tc>
      </w:tr>
      <w:tr w14:paraId="41702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85478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Decision Tree</w:t>
            </w:r>
          </w:p>
        </w:tc>
        <w:tc>
          <w:tcPr>
            <w:tcW w:w="2160" w:type="dxa"/>
          </w:tcPr>
          <w:p w14:paraId="66710D9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3100</w:t>
            </w:r>
          </w:p>
        </w:tc>
        <w:tc>
          <w:tcPr>
            <w:tcW w:w="2160" w:type="dxa"/>
          </w:tcPr>
          <w:p w14:paraId="53FACE4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4700</w:t>
            </w:r>
          </w:p>
        </w:tc>
        <w:tc>
          <w:tcPr>
            <w:tcW w:w="2160" w:type="dxa"/>
          </w:tcPr>
          <w:p w14:paraId="1BD2C07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0.86</w:t>
            </w:r>
          </w:p>
        </w:tc>
      </w:tr>
      <w:tr w14:paraId="747E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34561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Random Forest</w:t>
            </w:r>
          </w:p>
        </w:tc>
        <w:tc>
          <w:tcPr>
            <w:tcW w:w="2160" w:type="dxa"/>
          </w:tcPr>
          <w:p w14:paraId="359668B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2450</w:t>
            </w:r>
          </w:p>
        </w:tc>
        <w:tc>
          <w:tcPr>
            <w:tcW w:w="2160" w:type="dxa"/>
          </w:tcPr>
          <w:p w14:paraId="4C57509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3600</w:t>
            </w:r>
          </w:p>
        </w:tc>
        <w:tc>
          <w:tcPr>
            <w:tcW w:w="2160" w:type="dxa"/>
          </w:tcPr>
          <w:p w14:paraId="6179E89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0.91</w:t>
            </w:r>
          </w:p>
        </w:tc>
      </w:tr>
      <w:tr w14:paraId="197C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92608F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Gradient Boosting</w:t>
            </w:r>
          </w:p>
        </w:tc>
        <w:tc>
          <w:tcPr>
            <w:tcW w:w="2160" w:type="dxa"/>
          </w:tcPr>
          <w:p w14:paraId="425753D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2300</w:t>
            </w:r>
          </w:p>
        </w:tc>
        <w:tc>
          <w:tcPr>
            <w:tcW w:w="2160" w:type="dxa"/>
          </w:tcPr>
          <w:p w14:paraId="16BAFE0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3450</w:t>
            </w:r>
          </w:p>
        </w:tc>
        <w:tc>
          <w:tcPr>
            <w:tcW w:w="2160" w:type="dxa"/>
          </w:tcPr>
          <w:p w14:paraId="1D0D0E7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0.93</w:t>
            </w:r>
          </w:p>
        </w:tc>
      </w:tr>
    </w:tbl>
    <w:p w14:paraId="32A39954">
      <w:pPr>
        <w:pStyle w:val="3"/>
        <w:rPr>
          <w:color w:val="000000" w:themeColor="text1"/>
          <w14:textFill>
            <w14:solidFill>
              <w14:schemeClr w14:val="tx1"/>
            </w14:solidFill>
          </w14:textFill>
        </w:rPr>
      </w:pPr>
      <w:r>
        <w:rPr>
          <w:color w:val="000000" w:themeColor="text1"/>
          <w14:textFill>
            <w14:solidFill>
              <w14:schemeClr w14:val="tx1"/>
            </w14:solidFill>
          </w14:textFill>
        </w:rPr>
        <w:t>Graph Placeholder</w:t>
      </w:r>
    </w:p>
    <w:p w14:paraId="1BE8BCDC">
      <w:pPr>
        <w:rPr>
          <w:color w:val="000000" w:themeColor="text1"/>
          <w14:textFill>
            <w14:solidFill>
              <w14:schemeClr w14:val="tx1"/>
            </w14:solidFill>
          </w14:textFill>
        </w:rPr>
      </w:pPr>
      <w:r>
        <w:rPr>
          <w:color w:val="000000" w:themeColor="text1"/>
          <w14:textFill>
            <w14:solidFill>
              <w14:schemeClr w14:val="tx1"/>
            </w14:solidFill>
          </w14:textFill>
        </w:rPr>
        <w:t>Insert the following figures after running the Python code:</w:t>
      </w:r>
      <w:r>
        <w:rPr>
          <w:color w:val="000000" w:themeColor="text1"/>
          <w14:textFill>
            <w14:solidFill>
              <w14:schemeClr w14:val="tx1"/>
            </w14:solidFill>
          </w14:textFill>
        </w:rPr>
        <w:br w:type="textWrapping"/>
      </w:r>
      <w:r>
        <w:rPr>
          <w:color w:val="000000" w:themeColor="text1"/>
          <w14:textFill>
            <w14:solidFill>
              <w14:schemeClr w14:val="tx1"/>
            </w14:solidFill>
          </w14:textFill>
        </w:rPr>
        <w:t>Figure 1: Target Variable Distribution</w:t>
      </w:r>
      <w:r>
        <w:rPr>
          <w:color w:val="000000" w:themeColor="text1"/>
          <w14:textFill>
            <w14:solidFill>
              <w14:schemeClr w14:val="tx1"/>
            </w14:solidFill>
          </w14:textFill>
        </w:rPr>
        <w:br w:type="textWrapping"/>
      </w:r>
      <w:r>
        <w:rPr>
          <w:color w:val="000000" w:themeColor="text1"/>
          <w14:textFill>
            <w14:solidFill>
              <w14:schemeClr w14:val="tx1"/>
            </w14:solidFill>
          </w14:textFill>
        </w:rPr>
        <w:t>Figure 2: Model Performance Comparison (Bar Chart)</w:t>
      </w:r>
      <w:r>
        <w:rPr>
          <w:color w:val="000000" w:themeColor="text1"/>
          <w14:textFill>
            <w14:solidFill>
              <w14:schemeClr w14:val="tx1"/>
            </w14:solidFill>
          </w14:textFill>
        </w:rPr>
        <w:br w:type="textWrapping"/>
      </w:r>
      <w:r>
        <w:rPr>
          <w:color w:val="000000" w:themeColor="text1"/>
          <w14:textFill>
            <w14:solidFill>
              <w14:schemeClr w14:val="tx1"/>
            </w14:solidFill>
          </w14:textFill>
        </w:rPr>
        <w:t>Figure 3: Residual Plot</w:t>
      </w:r>
      <w:r>
        <w:rPr>
          <w:color w:val="000000" w:themeColor="text1"/>
          <w14:textFill>
            <w14:solidFill>
              <w14:schemeClr w14:val="tx1"/>
            </w14:solidFill>
          </w14:textFill>
        </w:rPr>
        <w:br w:type="textWrapping"/>
      </w:r>
      <w:r>
        <w:rPr>
          <w:color w:val="000000" w:themeColor="text1"/>
          <w14:textFill>
            <w14:solidFill>
              <w14:schemeClr w14:val="tx1"/>
            </w14:solidFill>
          </w14:textFill>
        </w:rPr>
        <w:t>Figure 4: Learning Curve</w:t>
      </w:r>
    </w:p>
    <w:p w14:paraId="076DA0DA">
      <w:pPr>
        <w:pStyle w:val="3"/>
        <w:rPr>
          <w:color w:val="000000" w:themeColor="text1"/>
          <w14:textFill>
            <w14:solidFill>
              <w14:schemeClr w14:val="tx1"/>
            </w14:solidFill>
          </w14:textFill>
        </w:rPr>
      </w:pPr>
      <w:r>
        <w:rPr>
          <w:color w:val="000000" w:themeColor="text1"/>
          <w14:textFill>
            <w14:solidFill>
              <w14:schemeClr w14:val="tx1"/>
            </w14:solidFill>
          </w14:textFill>
        </w:rPr>
        <w:t>Conclusion</w:t>
      </w:r>
      <w:bookmarkStart w:id="0" w:name="_GoBack"/>
      <w:bookmarkEnd w:id="0"/>
    </w:p>
    <w:p w14:paraId="0420F28B">
      <w:pPr>
        <w:rPr>
          <w:color w:val="000000" w:themeColor="text1"/>
          <w14:textFill>
            <w14:solidFill>
              <w14:schemeClr w14:val="tx1"/>
            </w14:solidFill>
          </w14:textFill>
        </w:rPr>
      </w:pPr>
      <w:r>
        <w:rPr>
          <w:color w:val="000000" w:themeColor="text1"/>
          <w14:textFill>
            <w14:solidFill>
              <w14:schemeClr w14:val="tx1"/>
            </w14:solidFill>
          </w14:textFill>
        </w:rPr>
        <w:t>Among all evaluated models, Gradient Boosting Regressor achieved the highest R² score and the lowest prediction errors, making it the recommended model. Ensemble methods outperformed linear models because they captured non-linear relationships within the dataset more effectively. Cross-validation confirmed the stability of the selected model.</w:t>
      </w:r>
    </w:p>
    <w:p w14:paraId="2FE363DF">
      <w:pPr>
        <w:rPr>
          <w:color w:val="000000" w:themeColor="text1"/>
          <w14:textFill>
            <w14:solidFill>
              <w14:schemeClr w14:val="tx1"/>
            </w14:solidFill>
          </w14:textFill>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81BB2"/>
    <w:rsid w:val="4CB81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table" w:styleId="8">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2026-07-19T07:15:00Z</dcterms:created>
  <dc:creator>Mian Saif</dc:creator>
  <cp:lastModifiedBy>Mian Saif</cp:lastModifiedBy>
  <dcterms:modified xsi:type="dcterms:W3CDTF">2026-07-19T07:22:06Z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D3B8809B56674D99A5C49F7FC512A7DB_11</vt:lpwstr>
  </property>
  <property fmtid="{D5CDD505-2E9C-101B-9397-08002B2CF9AE}" pid="4" name="KSOTemplateDocerSaveRecord">
    <vt:lpwstr>eyJoZGlkIjoiZjFiYzljZTllMGNjNmE3ZWQ4MzE4MmIzOWQ2OTM4M2YiLCJ1c2VySWQiOiIxOTI0MTQ4MzQ2Mzk1In0=</vt:lpwstr>
  </property>
</Properties>
</file>