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7300" w:rsidRDefault="002B200B">
      <w:pPr>
        <w:spacing w:before="1440" w:after="200"/>
      </w:pPr>
      <w:r>
        <w:rPr>
          <w:b/>
          <w:bCs/>
          <w:color w:val="0F6E56"/>
          <w:sz w:val="60"/>
          <w:szCs w:val="60"/>
        </w:rPr>
        <w:t>IBANSYS / SMI</w:t>
      </w:r>
    </w:p>
    <w:p w:rsidR="00827300" w:rsidRDefault="002B200B">
      <w:pPr>
        <w:spacing w:after="120"/>
      </w:pPr>
      <w:r>
        <w:rPr>
          <w:color w:val="185FA5"/>
          <w:sz w:val="32"/>
          <w:szCs w:val="32"/>
        </w:rPr>
        <w:t>Plateforme Bancaire — Module AVA</w:t>
      </w:r>
    </w:p>
    <w:p w:rsidR="00827300" w:rsidRDefault="00827300">
      <w:pPr>
        <w:pBdr>
          <w:bottom w:val="single" w:sz="4" w:space="2" w:color="0F6E56"/>
        </w:pBdr>
        <w:spacing w:after="200"/>
      </w:pPr>
    </w:p>
    <w:p w:rsidR="00827300" w:rsidRDefault="002B200B">
      <w:pPr>
        <w:spacing w:before="200" w:after="120"/>
      </w:pPr>
      <w:r>
        <w:rPr>
          <w:b/>
          <w:bCs/>
          <w:color w:val="444441"/>
          <w:sz w:val="48"/>
          <w:szCs w:val="48"/>
        </w:rPr>
        <w:t>Software Architecture Document</w:t>
      </w:r>
    </w:p>
    <w:p w:rsidR="00827300" w:rsidRDefault="002B200B">
      <w:pPr>
        <w:spacing w:after="60"/>
      </w:pPr>
      <w:r>
        <w:rPr>
          <w:i/>
          <w:iCs/>
          <w:color w:val="555555"/>
          <w:sz w:val="28"/>
          <w:szCs w:val="28"/>
        </w:rPr>
        <w:t>MS-AVA — Allocation pour Voyage d'Affaire</w:t>
      </w:r>
    </w:p>
    <w:p w:rsidR="00827300" w:rsidRDefault="00827300">
      <w:pPr>
        <w:pBdr>
          <w:bottom w:val="single" w:sz="4" w:space="2" w:color="CCCCCC"/>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1.0 — Mai 2026</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Audience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Dev · Support · QA · Integration · DevOps · Projet — IBANSYS/SMI</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Referentiel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BCT : Circulaires 2016-08, 2016-10, 2020-03</w:t>
            </w:r>
          </w:p>
        </w:tc>
      </w:tr>
      <w:tr w:rsidR="00827300" w:rsidRPr="002B20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Stack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Spring Boot 3.2 · React · Oracle 19c+ · Kafka · K8s 1.28+</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Statut</w:t>
            </w:r>
          </w:p>
        </w:tc>
        <w:tc>
          <w:tcPr>
            <w:tcW w:w="65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b/>
                <w:bCs/>
                <w:color w:val="993C1D"/>
                <w:sz w:val="18"/>
                <w:szCs w:val="18"/>
              </w:rPr>
              <w:t>CONFIDENTIEL — Usage interne IBANSYS/SMI</w:t>
            </w:r>
          </w:p>
        </w:tc>
      </w:tr>
    </w:tbl>
    <w:p w:rsidR="00827300" w:rsidRDefault="002B200B">
      <w:r>
        <w:br w:type="page"/>
      </w:r>
    </w:p>
    <w:p w:rsidR="00827300" w:rsidRDefault="002B200B">
      <w:pPr>
        <w:pStyle w:val="Titre1"/>
      </w:pPr>
      <w:r>
        <w:lastRenderedPageBreak/>
        <w:t>1. Introduction et Contexte</w:t>
      </w:r>
    </w:p>
    <w:p w:rsidR="00827300" w:rsidRDefault="002B200B">
      <w:pPr>
        <w:pStyle w:val="Titre2"/>
      </w:pPr>
      <w:r>
        <w:t>1.1 Contexte règlementaire BCT</w:t>
      </w:r>
    </w:p>
    <w:p w:rsidR="00827300" w:rsidRDefault="002B200B">
      <w:pPr>
        <w:spacing w:after="100"/>
      </w:pPr>
      <w:r>
        <w:t>Le module AVA s'inscrit dans le cadre de la règlementation des changes tunisienne, sous l'autorité de la Banque Centrale de Tunisie (BCT). Trois circulaires constituent le socle juridique contraignant.</w:t>
      </w:r>
    </w:p>
    <w:p w:rsidR="00827300" w:rsidRDefault="00827300">
      <w:pPr>
        <w:spacing w:after="100"/>
      </w:pPr>
    </w:p>
    <w:p w:rsidR="00827300" w:rsidRDefault="002B200B">
      <w:pPr>
        <w:spacing w:after="100"/>
      </w:pPr>
      <w:r>
        <w:rPr>
          <w:b/>
          <w:bCs/>
        </w:rPr>
        <w:t>Circulaire n° 2016-08 du 30 décembre 2016 — Régime des AVA</w:t>
      </w:r>
    </w:p>
    <w:p w:rsidR="00827300" w:rsidRDefault="002B200B">
      <w:pPr>
        <w:spacing w:after="100"/>
      </w:pPr>
      <w:r>
        <w:t>Texte fondateur définissant les cinq types d'allocations, les plafonds annuels, les pièces justificatives, les modes de transfert et les formats de déclaration.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Contrainte</w:t>
            </w:r>
          </w:p>
        </w:tc>
        <w:tc>
          <w:tcPr>
            <w:tcW w:w="20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Valeur</w:t>
            </w:r>
          </w:p>
        </w:tc>
        <w:tc>
          <w:tcPr>
            <w:tcW w:w="436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Impact sur MS-AVA</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Plafond Type 1 (Exportateur)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25% CA HT N-1, max 500 000 DT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Calcul DAT à l'ouverture, contrôle avant tout débit</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Plafond Type 2 (Marches)</w:t>
            </w:r>
          </w:p>
        </w:tc>
        <w:tc>
          <w:tcPr>
            <w:tcW w:w="2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sidP="002B200B">
            <w:r>
              <w:rPr>
                <w:color w:val="111111"/>
                <w:sz w:val="18"/>
                <w:szCs w:val="18"/>
              </w:rPr>
              <w:t>15% du montant du marché</w:t>
            </w:r>
          </w:p>
        </w:tc>
        <w:tc>
          <w:tcPr>
            <w:tcW w:w="436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Pas de plafond annuel, durée = durée marche</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Plafond Type 3 (Autres activités)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8% CA HT N-1, max 50 000 DT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Calcul DAT, avance Article 10, reinit. 01/01</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Plafond par frais de voyage</w:t>
            </w:r>
          </w:p>
        </w:tc>
        <w:tc>
          <w:tcPr>
            <w:tcW w:w="2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30 000 DT par FV</w:t>
            </w:r>
          </w:p>
        </w:tc>
        <w:tc>
          <w:tcPr>
            <w:tcW w:w="436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Contrôle unitaire avant chaque débit BBA/VIR/CAP</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Délai rétrocession RAV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30 jours ouvrables (paramètre)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Validation date RAV a la saisie</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Délai rétrocession RRV</w:t>
            </w:r>
          </w:p>
        </w:tc>
        <w:tc>
          <w:tcPr>
            <w:tcW w:w="2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7 jours ouvrables</w:t>
            </w:r>
          </w:p>
        </w:tc>
        <w:tc>
          <w:tcPr>
            <w:tcW w:w="436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Validation date RRV a la saisie</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Format déclaration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DUAV008R (ASCII) + DC-AVA (XML)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Centrale BCT génère les deux formats depuis Kafka ava.reporting</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Délai déclaration</w:t>
            </w:r>
          </w:p>
        </w:tc>
        <w:tc>
          <w:tcPr>
            <w:tcW w:w="2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Au plus tard J+15 mois suivant</w:t>
            </w:r>
          </w:p>
        </w:tc>
        <w:tc>
          <w:tcPr>
            <w:tcW w:w="436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Paramètre, alertes automatiques Centrale BCT</w:t>
            </w:r>
          </w:p>
        </w:tc>
      </w:tr>
    </w:tbl>
    <w:p w:rsidR="00827300" w:rsidRDefault="00827300">
      <w:pPr>
        <w:spacing w:after="100"/>
      </w:pPr>
    </w:p>
    <w:p w:rsidR="00827300" w:rsidRDefault="002B200B">
      <w:pPr>
        <w:spacing w:after="100"/>
      </w:pPr>
      <w:r>
        <w:rPr>
          <w:b/>
          <w:bCs/>
        </w:rPr>
        <w:t>Circulaire n° 2016-10 du 30 décembre 2016 — Exportation de devises</w:t>
      </w:r>
    </w:p>
    <w:p w:rsidR="00827300" w:rsidRDefault="002B200B">
      <w:pPr>
        <w:spacing w:after="100"/>
      </w:pPr>
      <w:r>
        <w:t>Régit les modalités de délivrance des devises : billets (BBA) et chèques. Impose les formules A, B, C pour chaque frais de voyage.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82730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Contrainte</w:t>
            </w:r>
          </w:p>
        </w:tc>
        <w:tc>
          <w:tcPr>
            <w:tcW w:w="536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Impact sur MS-AVA</w:t>
            </w:r>
          </w:p>
        </w:tc>
      </w:tr>
      <w:tr w:rsidR="0082730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Formule A remise au client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MS-EDITIQUE genere PDF Formule A a chaque debit BBA</w:t>
            </w:r>
          </w:p>
        </w:tc>
      </w:tr>
      <w:tr w:rsidR="00827300" w:rsidRPr="002B200B">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Formule B conservee par la banque</w:t>
            </w:r>
          </w:p>
        </w:tc>
        <w:tc>
          <w:tcPr>
            <w:tcW w:w="536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Archivee via MS-GEN → GED</w:t>
            </w:r>
          </w:p>
        </w:tc>
      </w:tr>
      <w:tr w:rsidR="0082730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Formule C remise a la douane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Generee par MS-EDITIQUE, imprimee au guichet</w:t>
            </w:r>
          </w:p>
        </w:tc>
      </w:tr>
    </w:tbl>
    <w:p w:rsidR="00827300" w:rsidRDefault="00827300">
      <w:pPr>
        <w:spacing w:after="100"/>
      </w:pPr>
    </w:p>
    <w:p w:rsidR="00827300" w:rsidRDefault="002B200B">
      <w:pPr>
        <w:spacing w:after="100"/>
      </w:pPr>
      <w:r>
        <w:rPr>
          <w:b/>
          <w:bCs/>
        </w:rPr>
        <w:t>Circulaire n° 2020-03 du 4 fevrier 2020 — Revision plafonds et activites</w:t>
      </w:r>
    </w:p>
    <w:p w:rsidR="00827300" w:rsidRDefault="002B200B">
      <w:pPr>
        <w:spacing w:after="100"/>
      </w:pPr>
      <w:r>
        <w:t>Introduit les 26 activites eligibles Annexe 2, les regles avance Article 10 (Type 3), le nouveau plafond Type 4 (banques) et la cloture automatique.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Contrainte</w:t>
            </w:r>
          </w:p>
        </w:tc>
        <w:tc>
          <w:tcPr>
            <w:tcW w:w="20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Valeur</w:t>
            </w:r>
          </w:p>
        </w:tc>
        <w:tc>
          <w:tcPr>
            <w:tcW w:w="436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Impact sur MS-AVA</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Plafond Type 4 (Banques)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400 000 DT forfaitaire annuel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Reinitialisation auto 01/01 sans calcul CA</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Plafond Type 5 (Promoteurs)</w:t>
            </w:r>
          </w:p>
        </w:tc>
        <w:tc>
          <w:tcPr>
            <w:tcW w:w="2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50 000 DT, droit unique</w:t>
            </w:r>
          </w:p>
        </w:tc>
        <w:tc>
          <w:tcPr>
            <w:tcW w:w="436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Pas de reinitialisation annuelle</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Avance Article 10 (Type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Min(50% x CA N-1, 50 000 - solde)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Verse si declaration fiscale N-1 absente en debut d'annee</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26 activites eligibles Annexe 2</w:t>
            </w:r>
          </w:p>
        </w:tc>
        <w:tc>
          <w:tcPr>
            <w:tcW w:w="2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Table AVA_ACTIVITE</w:t>
            </w:r>
          </w:p>
        </w:tc>
        <w:tc>
          <w:tcPr>
            <w:tcW w:w="436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Controle a l'ouverture : code activite doit etre dans la liste</w:t>
            </w:r>
          </w:p>
        </w:tc>
      </w:tr>
    </w:tbl>
    <w:p w:rsidR="00827300" w:rsidRDefault="00827300">
      <w:pPr>
        <w:spacing w:after="100"/>
      </w:pPr>
    </w:p>
    <w:p w:rsidR="00827300" w:rsidRDefault="002B200B">
      <w:pPr>
        <w:pStyle w:val="Titre2"/>
      </w:pPr>
      <w:r>
        <w:lastRenderedPageBreak/>
        <w:t>1.2 Objectifs du document et audience</w:t>
      </w:r>
    </w:p>
    <w:p w:rsidR="00827300" w:rsidRDefault="002B200B">
      <w:pPr>
        <w:spacing w:after="100"/>
      </w:pPr>
      <w:r>
        <w:t>Ce SAD constitue la reference d'architecture pour l'ensemble de l'equipe projet IBANSYS/SMI.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Profil</w:t>
            </w:r>
          </w:p>
        </w:tc>
        <w:tc>
          <w:tcPr>
            <w:tcW w:w="736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Usage du document</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Dev Backend</w:t>
            </w:r>
          </w:p>
        </w:tc>
        <w:tc>
          <w:tcPr>
            <w:tcW w:w="73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Comprendre flux, regles d'appel, structure interne de MS-AVA</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Dev Frontend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Identifier endpoints GET (direct) vs POST/PUT (via MS-WF)</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Equipe QA</w:t>
            </w:r>
          </w:p>
        </w:tc>
        <w:tc>
          <w:tcPr>
            <w:tcW w:w="73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Comprendre regles metier et reglementaires pour les cas de test</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Integration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Cartographier les interfaces inter-MS et avec le SI Banque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DevOps</w:t>
            </w:r>
          </w:p>
        </w:tc>
        <w:tc>
          <w:tcPr>
            <w:tcW w:w="73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Comprendre deploiement K8s, Kafka, namespaces et dependances</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Chefs de projet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Vue d'ensemble perimetre et interdependances</w:t>
            </w:r>
          </w:p>
        </w:tc>
      </w:tr>
    </w:tbl>
    <w:p w:rsidR="00827300" w:rsidRDefault="002B200B">
      <w:pPr>
        <w:shd w:val="clear" w:color="auto" w:fill="FAEEDA"/>
        <w:spacing w:before="120" w:after="120"/>
      </w:pPr>
      <w:r>
        <w:rPr>
          <w:i/>
          <w:iCs/>
          <w:color w:val="854F0B"/>
          <w:sz w:val="20"/>
          <w:szCs w:val="20"/>
        </w:rPr>
        <w:t xml:space="preserve">  Ce document ne remplace pas : le SFD (detail endpoints, DTOs, regles de gestion) ni le guide MS-WF (logique workflow).</w:t>
      </w:r>
    </w:p>
    <w:p w:rsidR="00827300" w:rsidRDefault="00827300">
      <w:pPr>
        <w:spacing w:after="100"/>
      </w:pPr>
    </w:p>
    <w:p w:rsidR="00827300" w:rsidRDefault="002B200B">
      <w:pPr>
        <w:pStyle w:val="Titre2"/>
      </w:pPr>
      <w:r>
        <w:t>1.3 Périmètre fonctionnel du module AVA</w:t>
      </w:r>
    </w:p>
    <w:p w:rsidR="00827300" w:rsidRDefault="002B200B">
      <w:pPr>
        <w:spacing w:after="100"/>
      </w:pPr>
      <w:r>
        <w:t>Le module AVA couvre l'intégralité du cycle de vie des allocations de devises pour voyages professionnels. Cinq types de dossiers IBANSYS correspondent a trois types BCT.</w:t>
      </w:r>
    </w:p>
    <w:p w:rsidR="00827300" w:rsidRDefault="00827300">
      <w:pPr>
        <w:spacing w:after="100"/>
      </w:pPr>
    </w:p>
    <w:p w:rsidR="00827300" w:rsidRDefault="00711441">
      <w:pPr>
        <w:spacing w:before="120" w:after="60"/>
        <w:jc w:val="center"/>
      </w:pPr>
      <w:r>
        <w:rPr>
          <w:noProof/>
        </w:rPr>
        <w:drawing>
          <wp:inline distT="0" distB="0" distL="0" distR="0">
            <wp:extent cx="6186805" cy="4533900"/>
            <wp:effectExtent l="0" t="0" r="4445" b="0"/>
            <wp:docPr id="12" name="Image 12" descr="C:\Users\User\Downloads\fig1a_mindmap_ava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fig1a_mindmap_ava_v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6805" cy="4533900"/>
                    </a:xfrm>
                    <a:prstGeom prst="rect">
                      <a:avLst/>
                    </a:prstGeom>
                    <a:noFill/>
                    <a:ln>
                      <a:noFill/>
                    </a:ln>
                  </pic:spPr>
                </pic:pic>
              </a:graphicData>
            </a:graphic>
          </wp:inline>
        </w:drawing>
      </w:r>
    </w:p>
    <w:p w:rsidR="00827300" w:rsidRDefault="002B200B">
      <w:pPr>
        <w:spacing w:after="200"/>
        <w:jc w:val="center"/>
      </w:pPr>
      <w:r>
        <w:rPr>
          <w:i/>
          <w:iCs/>
          <w:color w:val="555555"/>
          <w:sz w:val="18"/>
          <w:szCs w:val="18"/>
        </w:rPr>
        <w:t>Figure 1a — Carte fonctionnelle AVA : mind map des operations</w:t>
      </w:r>
    </w:p>
    <w:p w:rsidR="00827300" w:rsidRDefault="00711441">
      <w:pPr>
        <w:spacing w:before="120" w:after="60"/>
        <w:jc w:val="center"/>
      </w:pPr>
      <w:r>
        <w:rPr>
          <w:noProof/>
        </w:rPr>
        <w:lastRenderedPageBreak/>
        <w:drawing>
          <wp:inline distT="0" distB="0" distL="0" distR="0">
            <wp:extent cx="6186805" cy="5234305"/>
            <wp:effectExtent l="0" t="0" r="4445" b="0"/>
            <wp:docPr id="9" name="Image 9" descr="C:\Users\User\Downloads\fig1b_tableau_oper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fig1b_tableau_operation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6805" cy="5234305"/>
                    </a:xfrm>
                    <a:prstGeom prst="rect">
                      <a:avLst/>
                    </a:prstGeom>
                    <a:noFill/>
                    <a:ln>
                      <a:noFill/>
                    </a:ln>
                  </pic:spPr>
                </pic:pic>
              </a:graphicData>
            </a:graphic>
          </wp:inline>
        </w:drawing>
      </w:r>
    </w:p>
    <w:p w:rsidR="00827300" w:rsidRDefault="002B200B">
      <w:pPr>
        <w:spacing w:after="200"/>
        <w:jc w:val="center"/>
      </w:pPr>
      <w:r>
        <w:rPr>
          <w:i/>
          <w:iCs/>
          <w:color w:val="555555"/>
          <w:sz w:val="18"/>
          <w:szCs w:val="18"/>
        </w:rPr>
        <w:t>Figure 1b — Tableau des opérations AVA par catégorie et types de dossiers</w:t>
      </w:r>
    </w:p>
    <w:p w:rsidR="00827300" w:rsidRDefault="002B200B">
      <w:r>
        <w:br w:type="page"/>
      </w:r>
      <w:r w:rsidR="00711441">
        <w:rPr>
          <w:noProof/>
        </w:rPr>
        <w:lastRenderedPageBreak/>
        <w:drawing>
          <wp:inline distT="0" distB="0" distL="0" distR="0">
            <wp:extent cx="6186805" cy="2910205"/>
            <wp:effectExtent l="0" t="0" r="4445" b="0"/>
            <wp:docPr id="11" name="Image 11" descr="C:\Users\User\Downloads\fig1c_timeline_dossier_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fig1c_timeline_dossier_av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6805" cy="2910205"/>
                    </a:xfrm>
                    <a:prstGeom prst="rect">
                      <a:avLst/>
                    </a:prstGeom>
                    <a:noFill/>
                    <a:ln>
                      <a:noFill/>
                    </a:ln>
                  </pic:spPr>
                </pic:pic>
              </a:graphicData>
            </a:graphic>
          </wp:inline>
        </w:drawing>
      </w:r>
    </w:p>
    <w:p w:rsidR="00711441" w:rsidRDefault="00711441" w:rsidP="00711441">
      <w:pPr>
        <w:spacing w:after="200"/>
        <w:jc w:val="center"/>
      </w:pPr>
      <w:r>
        <w:rPr>
          <w:i/>
          <w:iCs/>
          <w:color w:val="555555"/>
          <w:sz w:val="18"/>
          <w:szCs w:val="18"/>
        </w:rPr>
        <w:t>Figure 1c</w:t>
      </w:r>
      <w:r>
        <w:rPr>
          <w:i/>
          <w:iCs/>
          <w:color w:val="555555"/>
          <w:sz w:val="18"/>
          <w:szCs w:val="18"/>
        </w:rPr>
        <w:t xml:space="preserve"> — </w:t>
      </w:r>
      <w:r w:rsidRPr="00711441">
        <w:rPr>
          <w:i/>
          <w:iCs/>
          <w:color w:val="555555"/>
          <w:sz w:val="18"/>
          <w:szCs w:val="18"/>
        </w:rPr>
        <w:t>Timeline du cycle de vie d'un dossier AVA</w:t>
      </w:r>
    </w:p>
    <w:p w:rsidR="00711441" w:rsidRDefault="00711441"/>
    <w:p w:rsidR="00827300" w:rsidRDefault="002B200B">
      <w:pPr>
        <w:pStyle w:val="Titre1"/>
      </w:pPr>
      <w:r>
        <w:t>2. Architecture applicative — Vue d'ensemble (L1)</w:t>
      </w:r>
    </w:p>
    <w:p w:rsidR="00827300" w:rsidRDefault="002B200B">
      <w:pPr>
        <w:pStyle w:val="Titre2"/>
      </w:pPr>
      <w:r>
        <w:t>2.1 Presentation de la suite IBANSYS</w:t>
      </w:r>
    </w:p>
    <w:p w:rsidR="00827300" w:rsidRDefault="002B200B">
      <w:pPr>
        <w:spacing w:after="100"/>
      </w:pPr>
      <w:r>
        <w:t>La plateforme IBANSYS est une suite de microservices bancaires developpee par SMI. MS-AVA est le microservice metier central du module AVA, concentrant l'integralite de la logique fonctionnelle AVA.</w:t>
      </w:r>
    </w:p>
    <w:p w:rsidR="00827300" w:rsidRDefault="00827300">
      <w:pPr>
        <w:spacing w:after="100"/>
      </w:pPr>
    </w:p>
    <w:p w:rsidR="00827300" w:rsidRDefault="002B200B">
      <w:pPr>
        <w:pStyle w:val="Titre2"/>
      </w:pPr>
      <w:r>
        <w:t>2.2 Inventaire des composants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800"/>
        <w:gridCol w:w="4160"/>
      </w:tblGrid>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Composant</w:t>
            </w:r>
          </w:p>
        </w:tc>
        <w:tc>
          <w:tcPr>
            <w:tcW w:w="14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Couche</w:t>
            </w:r>
          </w:p>
        </w:tc>
        <w:tc>
          <w:tcPr>
            <w:tcW w:w="18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Technologie</w:t>
            </w:r>
          </w:p>
        </w:tc>
        <w:tc>
          <w:tcPr>
            <w:tcW w:w="416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Role dans AVA</w:t>
            </w:r>
          </w:p>
        </w:tc>
      </w:tr>
      <w:tr w:rsidR="00827300" w:rsidRPr="002B20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Frontend React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Presentation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React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Pr="002B200B" w:rsidRDefault="008F3C5F">
            <w:pPr>
              <w:rPr>
                <w:lang w:val="en-US"/>
              </w:rPr>
            </w:pPr>
            <w:r w:rsidRPr="008F3C5F">
              <w:rPr>
                <w:color w:val="111111"/>
                <w:sz w:val="18"/>
                <w:szCs w:val="18"/>
                <w:lang w:val="en-US"/>
              </w:rPr>
              <w:t>SPA</w:t>
            </w:r>
            <w:r w:rsidR="002B200B" w:rsidRPr="002B200B">
              <w:rPr>
                <w:color w:val="111111"/>
                <w:sz w:val="18"/>
                <w:szCs w:val="18"/>
                <w:lang w:val="en-US"/>
              </w:rPr>
              <w:t xml:space="preserve"> banquier — GET direct, POST/PUT via MS-WF</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sidRPr="00D5336D">
              <w:rPr>
                <w:color w:val="111111"/>
                <w:sz w:val="18"/>
                <w:szCs w:val="18"/>
                <w:highlight w:val="yellow"/>
              </w:rPr>
              <w:t>API Gateway</w:t>
            </w:r>
            <w:r w:rsidR="00D5336D">
              <w:rPr>
                <w:color w:val="111111"/>
                <w:sz w:val="18"/>
                <w:szCs w:val="18"/>
              </w:rPr>
              <w:t xml:space="preserve"> (payload complet ou plusieurs appels)</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Spring Cloud</w:t>
            </w:r>
          </w:p>
        </w:tc>
        <w:tc>
          <w:tcPr>
            <w:tcW w:w="41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Point d'entree unique — routage, filtre JWT, delegation MS-AUTH</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B97503" w:rsidRDefault="002B200B">
            <w:pPr>
              <w:rPr>
                <w:color w:val="111111"/>
                <w:sz w:val="18"/>
                <w:szCs w:val="18"/>
                <w:highlight w:val="yellow"/>
              </w:rPr>
            </w:pPr>
            <w:r w:rsidRPr="008F3C5F">
              <w:rPr>
                <w:color w:val="111111"/>
                <w:sz w:val="18"/>
                <w:szCs w:val="18"/>
                <w:highlight w:val="yellow"/>
              </w:rPr>
              <w:t>MS-AUTH</w:t>
            </w:r>
            <w:r w:rsidR="008F3C5F">
              <w:rPr>
                <w:color w:val="111111"/>
                <w:sz w:val="18"/>
                <w:szCs w:val="18"/>
                <w:highlight w:val="yellow"/>
              </w:rPr>
              <w:t>/IA</w:t>
            </w:r>
          </w:p>
          <w:p w:rsidR="00827300" w:rsidRPr="008F3C5F" w:rsidRDefault="008F3C5F">
            <w:pPr>
              <w:rPr>
                <w:highlight w:val="yellow"/>
              </w:rPr>
            </w:pPr>
            <w:r>
              <w:rPr>
                <w:color w:val="111111"/>
                <w:sz w:val="18"/>
                <w:szCs w:val="18"/>
                <w:highlight w:val="yellow"/>
              </w:rPr>
              <w:t>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Pr="008F3C5F" w:rsidRDefault="002B200B">
            <w:pPr>
              <w:rPr>
                <w:highlight w:val="yellow"/>
              </w:rPr>
            </w:pPr>
            <w:r w:rsidRPr="008F3C5F">
              <w:rPr>
                <w:color w:val="111111"/>
                <w:sz w:val="18"/>
                <w:szCs w:val="18"/>
                <w:highlight w:val="yellow"/>
              </w:rPr>
              <w:t>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Pr="008F3C5F" w:rsidRDefault="002B200B">
            <w:pPr>
              <w:rPr>
                <w:highlight w:val="yellow"/>
              </w:rPr>
            </w:pPr>
            <w:r w:rsidRPr="008F3C5F">
              <w:rPr>
                <w:color w:val="111111"/>
                <w:sz w:val="18"/>
                <w:szCs w:val="18"/>
                <w:highlight w:val="yellow"/>
              </w:rPr>
              <w:t>Spring Boot + LDAP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Pr="008F3C5F" w:rsidRDefault="002B200B">
            <w:pPr>
              <w:rPr>
                <w:highlight w:val="yellow"/>
              </w:rPr>
            </w:pPr>
            <w:r w:rsidRPr="008F3C5F">
              <w:rPr>
                <w:color w:val="111111"/>
                <w:sz w:val="18"/>
                <w:szCs w:val="18"/>
                <w:highlight w:val="yellow"/>
              </w:rPr>
              <w:t>Login, emission JWT RS256, validation token sur chaque requete Gateway</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MS-WF</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Orchestration</w:t>
            </w:r>
          </w:p>
        </w:tc>
        <w:tc>
          <w:tcPr>
            <w:tcW w:w="18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Flowable BPMN 6.8</w:t>
            </w:r>
          </w:p>
        </w:tc>
        <w:tc>
          <w:tcPr>
            <w:tcW w:w="41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Orchestre toutes les operations modification — SoD, snapshot, transition rules</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b/>
                <w:bCs/>
                <w:color w:val="111111"/>
                <w:sz w:val="18"/>
                <w:szCs w:val="18"/>
              </w:rPr>
              <w:t>MS-AVA</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Metier</w:t>
            </w:r>
          </w:p>
        </w:tc>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Spring Boot 3.2</w:t>
            </w:r>
          </w:p>
        </w:tc>
        <w:tc>
          <w:tcPr>
            <w:tcW w:w="41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Backend metier AVA — toutes operations — isolation totale externe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MS-REF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Referentiel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Spring Boot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Pays, devises, 26 activites Annexe 2, pieces justificatives</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MS-REF-BQ</w:t>
            </w:r>
          </w:p>
        </w:tc>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Referentiel</w:t>
            </w:r>
          </w:p>
        </w:tc>
        <w:tc>
          <w:tcPr>
            <w:tcW w:w="18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Spring Boot + Oracle</w:t>
            </w:r>
          </w:p>
        </w:tc>
        <w:tc>
          <w:tcPr>
            <w:tcW w:w="41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Donnees banque — Mode A: DB locale synchro / Mode B: API SI Banque temps reel</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MS-DOMICILIATION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Transverse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Spring Boot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Imputations douanieres — CODE_ACTIVITE=24</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MS-RECOM</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Transverse</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Spring Boot</w:t>
            </w:r>
          </w:p>
        </w:tc>
        <w:tc>
          <w:tcPr>
            <w:tcW w:w="41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Calcul commissions CRO — consommateur Kafka ava.commissions</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MS-EDITIQUE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Transverse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Spring Boot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Generation PDF, courriers, cachet electronique — sync apres finalize=true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lastRenderedPageBreak/>
              <w:t>MS-GEN</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Facade SI Banque</w:t>
            </w:r>
          </w:p>
        </w:tc>
        <w:tc>
          <w:tcPr>
            <w:tcW w:w="18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Spring Boot</w:t>
            </w:r>
          </w:p>
        </w:tc>
        <w:tc>
          <w:tcPr>
            <w:tcW w:w="41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Anti-Corruption Layer — GED, Forces Online, extensions SI Banque futures</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MS-MAILING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Transverse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Spring Boot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Notifications email — consommateur Kafka ava.notifications — config SMTP/SI Banque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Centrale BCT</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Reglementaire</w:t>
            </w:r>
          </w:p>
        </w:tc>
        <w:tc>
          <w:tcPr>
            <w:tcW w:w="18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Spring Boot</w:t>
            </w:r>
          </w:p>
        </w:tc>
        <w:tc>
          <w:tcPr>
            <w:tcW w:w="41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Consommateur Kafka ava.reporting — genere DC-AVA XML + DUAV → BCT</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MS-MONITORING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Observabilite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Spring Boot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Consommateur Kafka ava.logs — centralisation logs tous MS</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b/>
                <w:bCs/>
                <w:color w:val="FFFFFF"/>
                <w:sz w:val="18"/>
                <w:szCs w:val="18"/>
              </w:rPr>
              <w:t>Apache Kafka</w:t>
            </w:r>
          </w:p>
        </w:tc>
        <w:tc>
          <w:tcPr>
            <w:tcW w:w="140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color w:val="FFFFFF"/>
                <w:sz w:val="18"/>
                <w:szCs w:val="18"/>
              </w:rPr>
              <w:t>Bus messagerie</w:t>
            </w:r>
          </w:p>
        </w:tc>
        <w:tc>
          <w:tcPr>
            <w:tcW w:w="180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color w:val="FFFFFF"/>
                <w:sz w:val="18"/>
                <w:szCs w:val="18"/>
              </w:rPr>
              <w:t>Kafka (K8s)</w:t>
            </w:r>
          </w:p>
        </w:tc>
        <w:tc>
          <w:tcPr>
            <w:tcW w:w="416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color w:val="FFFFFF"/>
                <w:sz w:val="18"/>
                <w:szCs w:val="18"/>
              </w:rPr>
              <w:t>4 topics : ava.logs · ava.reporting · ava.commissions · ava.notifications</w:t>
            </w:r>
          </w:p>
        </w:tc>
      </w:tr>
    </w:tbl>
    <w:p w:rsidR="00827300" w:rsidRDefault="00827300">
      <w:pPr>
        <w:spacing w:after="100"/>
      </w:pPr>
    </w:p>
    <w:p w:rsidR="00827300" w:rsidRDefault="00711441">
      <w:pPr>
        <w:spacing w:before="120" w:after="60"/>
        <w:jc w:val="center"/>
      </w:pPr>
      <w:r>
        <w:rPr>
          <w:noProof/>
        </w:rPr>
        <w:drawing>
          <wp:inline distT="0" distB="0" distL="0" distR="0">
            <wp:extent cx="6186805" cy="7029450"/>
            <wp:effectExtent l="0" t="0" r="0" b="0"/>
            <wp:docPr id="15" name="Image 15" descr="C:\Users\User\Downloads\fig2_L1_architecture_complet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fig2_L1_architecture_complete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6805" cy="7029450"/>
                    </a:xfrm>
                    <a:prstGeom prst="rect">
                      <a:avLst/>
                    </a:prstGeom>
                    <a:noFill/>
                    <a:ln>
                      <a:noFill/>
                    </a:ln>
                  </pic:spPr>
                </pic:pic>
              </a:graphicData>
            </a:graphic>
          </wp:inline>
        </w:drawing>
      </w:r>
    </w:p>
    <w:p w:rsidR="00827300" w:rsidRDefault="002B200B">
      <w:pPr>
        <w:spacing w:after="200"/>
        <w:jc w:val="center"/>
      </w:pPr>
      <w:r>
        <w:rPr>
          <w:i/>
          <w:iCs/>
          <w:color w:val="555555"/>
          <w:sz w:val="18"/>
          <w:szCs w:val="18"/>
        </w:rPr>
        <w:t>Figure 2 — Architecture applicative L1 complete — Suite IBANSYS/SMI module AVA</w:t>
      </w:r>
    </w:p>
    <w:p w:rsidR="00827300" w:rsidRDefault="00711441">
      <w:pPr>
        <w:spacing w:before="120" w:after="60"/>
        <w:jc w:val="center"/>
      </w:pPr>
      <w:r>
        <w:rPr>
          <w:noProof/>
        </w:rPr>
        <w:lastRenderedPageBreak/>
        <w:drawing>
          <wp:inline distT="0" distB="0" distL="0" distR="0">
            <wp:extent cx="6186805" cy="4467225"/>
            <wp:effectExtent l="0" t="0" r="0" b="0"/>
            <wp:docPr id="16" name="Image 16" descr="C:\Users\User\Downloads\fig3_frontieres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fig3_frontieres_v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6805" cy="4467225"/>
                    </a:xfrm>
                    <a:prstGeom prst="rect">
                      <a:avLst/>
                    </a:prstGeom>
                    <a:noFill/>
                    <a:ln>
                      <a:noFill/>
                    </a:ln>
                  </pic:spPr>
                </pic:pic>
              </a:graphicData>
            </a:graphic>
          </wp:inline>
        </w:drawing>
      </w:r>
    </w:p>
    <w:p w:rsidR="00827300" w:rsidRDefault="002B200B">
      <w:pPr>
        <w:spacing w:after="200"/>
        <w:jc w:val="center"/>
      </w:pPr>
      <w:r>
        <w:rPr>
          <w:i/>
          <w:iCs/>
          <w:color w:val="555555"/>
          <w:sz w:val="18"/>
          <w:szCs w:val="18"/>
        </w:rPr>
        <w:t>Figure 3 — Frontieres IBANSYS / Systemes externes + Tableau des interfaces</w:t>
      </w:r>
    </w:p>
    <w:p w:rsidR="00827300" w:rsidRDefault="00415EAB" w:rsidP="00415EAB">
      <w:pPr>
        <w:spacing w:after="100"/>
      </w:pPr>
      <w:r>
        <w:t>Select system =&gt; monétique</w:t>
      </w:r>
    </w:p>
    <w:p w:rsidR="00415EAB" w:rsidRDefault="00415EAB">
      <w:pPr>
        <w:spacing w:after="100"/>
      </w:pPr>
      <w:r>
        <w:t>IAM =&gt; Identity manager</w:t>
      </w:r>
    </w:p>
    <w:p w:rsidR="00827300" w:rsidRDefault="002B200B">
      <w:pPr>
        <w:pStyle w:val="Titre2"/>
      </w:pPr>
      <w:r>
        <w:t>2.3 Principes architecturaux fondamentaux</w:t>
      </w:r>
    </w:p>
    <w:p w:rsidR="00827300" w:rsidRDefault="002B200B">
      <w:pPr>
        <w:spacing w:after="100"/>
      </w:pPr>
      <w:r>
        <w:rPr>
          <w:b/>
          <w:bCs/>
        </w:rPr>
        <w:t>Principe 1 — Separation POST/PUT (via MS-WF) vs GET (direct)</w:t>
      </w:r>
    </w:p>
    <w:p w:rsidR="00827300" w:rsidRDefault="002B200B">
      <w:pPr>
        <w:spacing w:after="100"/>
      </w:pPr>
      <w:r>
        <w:t>Toute operation de modification transite obligatoirement par MS-WF avant d'atteindre MS-AVA. Le frontend ne peut jamais appeler MS-AVA en POST ou PUT directement.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1800"/>
        <w:gridCol w:w="1760"/>
      </w:tblGrid>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Chemin</w:t>
            </w:r>
          </w:p>
        </w:tc>
        <w:tc>
          <w:tcPr>
            <w:tcW w:w="18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MS-WF</w:t>
            </w:r>
          </w:p>
        </w:tc>
        <w:tc>
          <w:tcPr>
            <w:tcW w:w="176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Justification</w:t>
            </w:r>
          </w:p>
        </w:tc>
      </w:tr>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b/>
                <w:bCs/>
                <w:color w:val="111111"/>
                <w:sz w:val="18"/>
                <w:szCs w:val="18"/>
              </w:rPr>
              <w:t>POST/PUT</w:t>
            </w:r>
          </w:p>
        </w:tc>
        <w:tc>
          <w:tcPr>
            <w:tcW w:w="40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Front → Gateway → MS-WF → MS-AVA</w:t>
            </w:r>
          </w:p>
        </w:tc>
        <w:tc>
          <w:tcPr>
            <w:tcW w:w="18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b/>
                <w:bCs/>
                <w:color w:val="111111"/>
                <w:sz w:val="18"/>
                <w:szCs w:val="18"/>
              </w:rPr>
              <w:t>Oui — obligatoire</w:t>
            </w:r>
          </w:p>
        </w:tc>
        <w:tc>
          <w:tcPr>
            <w:tcW w:w="17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SoD, audit, snapshot</w:t>
            </w:r>
          </w:p>
        </w:tc>
      </w:tr>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GET</w:t>
            </w:r>
          </w:p>
        </w:tc>
        <w:tc>
          <w:tcPr>
            <w:tcW w:w="4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Front → Gateway → MS-AVA (ou MS-REF)</w:t>
            </w:r>
          </w:p>
        </w:tc>
        <w:tc>
          <w:tcPr>
            <w:tcW w:w="18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Non</w:t>
            </w:r>
          </w:p>
        </w:tc>
        <w:tc>
          <w:tcPr>
            <w:tcW w:w="176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Performance, simplicite</w:t>
            </w:r>
          </w:p>
        </w:tc>
      </w:tr>
    </w:tbl>
    <w:p w:rsidR="00827300" w:rsidRDefault="00827300">
      <w:pPr>
        <w:spacing w:after="100"/>
      </w:pPr>
    </w:p>
    <w:p w:rsidR="00827300" w:rsidRDefault="002B200B">
      <w:pPr>
        <w:shd w:val="clear" w:color="auto" w:fill="FAEEDA"/>
        <w:spacing w:before="120" w:after="120"/>
      </w:pPr>
      <w:r>
        <w:rPr>
          <w:i/>
          <w:iCs/>
          <w:color w:val="854F0B"/>
          <w:sz w:val="20"/>
          <w:szCs w:val="20"/>
        </w:rPr>
        <w:t xml:space="preserve">  Decision confirmee : tous les flux synchrones inter-MS passent par l'API Gateway. Le parametre finalize=false = upsert operation uniquement (aucun Kafka, aucun statut modifie). Le parametre finalize=true = finalisation + statut V + 4 topics Kafka.</w:t>
      </w:r>
    </w:p>
    <w:p w:rsidR="00827300" w:rsidRDefault="00827300">
      <w:pPr>
        <w:spacing w:after="100"/>
      </w:pPr>
    </w:p>
    <w:p w:rsidR="00827300" w:rsidRDefault="002B200B">
      <w:pPr>
        <w:spacing w:after="100"/>
      </w:pPr>
      <w:r>
        <w:rPr>
          <w:b/>
          <w:bCs/>
        </w:rPr>
        <w:t>Principe 2 — Isolation totale de MS-AVA</w:t>
      </w:r>
    </w:p>
    <w:p w:rsidR="00827300" w:rsidRDefault="002B200B">
      <w:pPr>
        <w:spacing w:after="100"/>
      </w:pPr>
      <w:r>
        <w:t>MS-AVA ne connait aucun systeme externe a la suite IBANSYS. Toute interaction avec un SI tiers est deleguee a un microservice proxy ou facade dedie. Cela garantit la testabilite de MS-AVA en isolation et zero impact lors d'un changement d'API du SI Banque.</w:t>
      </w:r>
    </w:p>
    <w:p w:rsidR="00827300" w:rsidRDefault="00827300">
      <w:pPr>
        <w:spacing w:after="100"/>
      </w:pPr>
    </w:p>
    <w:p w:rsidR="00827300" w:rsidRDefault="002B200B">
      <w:pPr>
        <w:spacing w:after="100"/>
      </w:pPr>
      <w:r>
        <w:rPr>
          <w:b/>
          <w:bCs/>
        </w:rPr>
        <w:t>Principe 3 — Kafka comme decouplage asynchrone</w:t>
      </w:r>
    </w:p>
    <w:p w:rsidR="00827300" w:rsidRDefault="002B200B">
      <w:pPr>
        <w:spacing w:after="100"/>
      </w:pPr>
      <w:r>
        <w:lastRenderedPageBreak/>
        <w:t>Quatre flux sortants de MS-AVA sont asynchrones et transitent par Kafka. MS-AVA publie et oublie. Les consommateurs traitent a leur rythme independamment. La garantie exactly-once est appliquee uniquement sur ava.reporting (donnees reglementaires BCT — aucune duplication toleree).</w:t>
      </w:r>
    </w:p>
    <w:p w:rsidR="00827300" w:rsidRDefault="00827300">
      <w:pPr>
        <w:spacing w:after="100"/>
      </w:pPr>
    </w:p>
    <w:p w:rsidR="00827300" w:rsidRDefault="002B200B">
      <w:pPr>
        <w:spacing w:after="100"/>
      </w:pPr>
      <w:r>
        <w:rPr>
          <w:b/>
          <w:bCs/>
        </w:rPr>
        <w:t>Principe 4 — MS-AUTH et authentification deleguee</w:t>
      </w:r>
    </w:p>
    <w:p w:rsidR="00827300" w:rsidRDefault="002B200B">
      <w:pPr>
        <w:spacing w:after="100"/>
      </w:pPr>
      <w:r>
        <w:t>Aucun microservice metier ne valide lui-meme les tokens JWT. La validation est centralisee a la Gateway qui interroge MS-AUTH sur chaque requete. MS-AVA et MS-WF lisent uniquement les headers propages (X-User-Id, X-Role-Code) deja valides en amont.</w:t>
      </w:r>
    </w:p>
    <w:p w:rsidR="00827300" w:rsidRDefault="00827300">
      <w:pPr>
        <w:spacing w:after="100"/>
      </w:pPr>
    </w:p>
    <w:p w:rsidR="00827300" w:rsidRDefault="002B200B">
      <w:pPr>
        <w:spacing w:after="100"/>
      </w:pPr>
      <w:r>
        <w:rPr>
          <w:b/>
          <w:bCs/>
        </w:rPr>
        <w:t>Principe 5 — MS-GEN comme Anti-Corruption Layer</w:t>
      </w:r>
    </w:p>
    <w:p w:rsidR="00827300" w:rsidRDefault="002B200B">
      <w:pPr>
        <w:spacing w:after="100"/>
      </w:pPr>
      <w:r>
        <w:t>MS-GEN absorbe les evolutions du SI Banque. Son role est de traduire les contrats IBANSYS en contrats SI Banque dans les deux sens. Tout ajout de systeme externe passe par MS-GEN — MS-AVA n'est jamais modifie pour un nouveau SI.</w:t>
      </w:r>
    </w:p>
    <w:p w:rsidR="00827300" w:rsidRDefault="00827300">
      <w:pPr>
        <w:spacing w:after="100"/>
      </w:pPr>
    </w:p>
    <w:p w:rsidR="00827300" w:rsidRDefault="002B200B">
      <w:pPr>
        <w:shd w:val="clear" w:color="auto" w:fill="FAEEDA"/>
        <w:spacing w:before="120" w:after="120"/>
      </w:pPr>
      <w:r>
        <w:rPr>
          <w:i/>
          <w:iCs/>
          <w:color w:val="854F0B"/>
          <w:sz w:val="20"/>
          <w:szCs w:val="20"/>
        </w:rPr>
        <w:t xml:space="preserve">  Vigilance MS-REF-BQ : deux modes de fonctionnement selon le choix de la banque. Mode A : base de donnees locale synchronisee regulierement avec le SI Banque. Mode B : API SI Banque consommee en temps reel. Cette decision est a prendre avec la banque cliente.</w:t>
      </w:r>
    </w:p>
    <w:p w:rsidR="00827300" w:rsidRDefault="002B200B">
      <w:r>
        <w:br w:type="page"/>
      </w:r>
    </w:p>
    <w:p w:rsidR="00827300" w:rsidRDefault="002B200B">
      <w:pPr>
        <w:pStyle w:val="Titre1"/>
      </w:pPr>
      <w:r>
        <w:lastRenderedPageBreak/>
        <w:t>3. Architecture de MS-AVA — Vue detaillee (L2)</w:t>
      </w:r>
    </w:p>
    <w:p w:rsidR="00827300" w:rsidRDefault="002B200B">
      <w:pPr>
        <w:pStyle w:val="Titre2"/>
      </w:pPr>
      <w:r>
        <w:t>3.1 Role et responsabilites de MS-AVA</w:t>
      </w:r>
    </w:p>
    <w:p w:rsidR="00827300" w:rsidRDefault="002B200B">
      <w:pPr>
        <w:spacing w:after="100"/>
      </w:pPr>
      <w:r>
        <w:rPr>
          <w:b/>
          <w:bCs/>
        </w:rPr>
        <w:t>Ce que MS-AVA gere :</w:t>
      </w:r>
    </w:p>
    <w:p w:rsidR="00827300" w:rsidRDefault="002B200B">
      <w:pPr>
        <w:spacing w:after="100"/>
      </w:pPr>
      <w:r>
        <w:t>Le cycle de vie complet des dossiers AVA — ouverture a cloture, cinq types IBANSYS. Il maintient l'etat courant dans OPERATIONS_DELEGUEES, l'historique mouvements dans OPERATIONS_DELEGUEES_MVT, les beneficiaires dans BENEFICIAIRES et BENEFICIAIRES_MVT, les donnees marche dans AVA_MARCHE (Type 2 uniquement).</w:t>
      </w:r>
    </w:p>
    <w:p w:rsidR="00827300" w:rsidRDefault="00827300">
      <w:pPr>
        <w:spacing w:after="100"/>
      </w:pPr>
    </w:p>
    <w:p w:rsidR="00827300" w:rsidRDefault="002B200B">
      <w:pPr>
        <w:spacing w:after="100"/>
      </w:pPr>
      <w:r>
        <w:rPr>
          <w:b/>
          <w:bCs/>
        </w:rPr>
        <w:t>Ce que MS-AVA calcule :</w:t>
      </w:r>
    </w:p>
    <w:p w:rsidR="00827300" w:rsidRDefault="002B200B">
      <w:pPr>
        <w:spacing w:after="100"/>
      </w:pPr>
      <w:r>
        <w:t>Solde AVA disponible avant tout debit, droits a transfert (DAT) selon taux et plafond du type, avance Article 10 pour Type 3, dates limite de retrocession (RAV 30j, RRV 7j).</w:t>
      </w:r>
    </w:p>
    <w:p w:rsidR="00827300" w:rsidRDefault="00827300">
      <w:pPr>
        <w:spacing w:after="100"/>
      </w:pPr>
    </w:p>
    <w:p w:rsidR="00827300" w:rsidRDefault="002B200B">
      <w:pPr>
        <w:spacing w:after="100"/>
      </w:pPr>
      <w:r>
        <w:rPr>
          <w:b/>
          <w:bCs/>
        </w:rPr>
        <w:t>Ce que MS-AVA publie :</w:t>
      </w:r>
    </w:p>
    <w:p w:rsidR="00827300" w:rsidRDefault="002B200B">
      <w:pPr>
        <w:spacing w:after="100"/>
      </w:pPr>
      <w:r w:rsidRPr="002B200B">
        <w:rPr>
          <w:lang w:val="en-US"/>
        </w:rPr>
        <w:t xml:space="preserve">Quatre flux Kafka a chaque operation finalisee : ava.reporting (exactly-once → Centrale BCT), ava.commissions (→ MS-RECOM), ava.notifications (→ MS-MAILING), ava.logs (→ MS-MONITORING). </w:t>
      </w:r>
      <w:r>
        <w:t>Publish and forget — MS-AVA n'attend aucune reponse des consommateurs.</w:t>
      </w:r>
    </w:p>
    <w:p w:rsidR="00827300" w:rsidRDefault="00827300">
      <w:pPr>
        <w:spacing w:after="100"/>
      </w:pPr>
    </w:p>
    <w:p w:rsidR="00827300" w:rsidRDefault="002B200B">
      <w:pPr>
        <w:spacing w:after="100"/>
      </w:pPr>
      <w:r>
        <w:rPr>
          <w:b/>
          <w:bCs/>
        </w:rPr>
        <w:t>Ce que MS-AVA appelle en synchrone (via Gateway) :</w:t>
      </w:r>
    </w:p>
    <w:p w:rsidR="00827300" w:rsidRDefault="002B200B">
      <w:pPr>
        <w:spacing w:after="100"/>
      </w:pPr>
      <w:r>
        <w:t>MS-DOMICILIATION (imputations douanieres), MS-EDITIQUE (generation PDF apres finalize=true), MS-GEN (controle Forces Online et archivage GED). Ces trois appels sont synchrones et bloquants.</w:t>
      </w:r>
    </w:p>
    <w:p w:rsidR="00827300" w:rsidRDefault="00827300">
      <w:pPr>
        <w:spacing w:after="100"/>
      </w:pPr>
    </w:p>
    <w:p w:rsidR="00827300" w:rsidRDefault="002B200B">
      <w:pPr>
        <w:pStyle w:val="Titre2"/>
      </w:pPr>
      <w:r>
        <w:t>3.2 Architecture interne en couches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Couche</w:t>
            </w:r>
          </w:p>
        </w:tc>
        <w:tc>
          <w:tcPr>
            <w:tcW w:w="736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Contenu</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b/>
                <w:bCs/>
                <w:color w:val="111111"/>
                <w:sz w:val="18"/>
                <w:szCs w:val="18"/>
              </w:rPr>
              <w:t>API REST</w:t>
            </w:r>
          </w:p>
        </w:tc>
        <w:tc>
          <w:tcPr>
            <w:tcW w:w="736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OpenAPI 3.0.1 — POST/PUT via MS-WF uniquement · GET acces direct frontend. Groupes : Dossiers · Mouvements · Beneficiaires · Reporting · Parametrage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b/>
                <w:bCs/>
                <w:color w:val="111111"/>
                <w:sz w:val="18"/>
                <w:szCs w:val="18"/>
              </w:rPr>
              <w:t>Service metier</w:t>
            </w:r>
          </w:p>
        </w:tc>
        <w:tc>
          <w:tcPr>
            <w:tcW w:w="73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6 groupes fonctionnels : Gestion dossier · Mouvements &amp; Solde · Beneficiaires · Carte CAP · Reporting BCT · Batch 01/01</w:t>
            </w:r>
          </w:p>
        </w:tc>
      </w:tr>
      <w:tr w:rsidR="00827300" w:rsidRPr="002B20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b/>
                <w:bCs/>
                <w:color w:val="111111"/>
                <w:sz w:val="18"/>
                <w:szCs w:val="18"/>
              </w:rPr>
              <w:t>Persistance</w:t>
            </w:r>
          </w:p>
        </w:tc>
        <w:tc>
          <w:tcPr>
            <w:tcW w:w="73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Oracle 19c+ · Spring Data JPA / Hibernate 6 · Schema AVA. Tables : OPERATIONS_DELEGUEES · OPERATIONS_DELEGUEES_MVT · BENEFICIAIRES · BENEFICIAIRES_MVT · AVA_MARCHE · AVA_MARCHE_MVT · RESERVATION · DOCUMENTS · Referentiel AVA · BATCH_AVA_REINIT</w:t>
            </w:r>
          </w:p>
        </w:tc>
      </w:tr>
      <w:tr w:rsidR="00827300" w:rsidRPr="002B20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b/>
                <w:bCs/>
                <w:color w:val="111111"/>
                <w:sz w:val="18"/>
                <w:szCs w:val="18"/>
              </w:rPr>
              <w:t>Integration</w:t>
            </w:r>
          </w:p>
        </w:tc>
        <w:tc>
          <w:tcPr>
            <w:tcW w:w="73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Producteur Kafka (Spring Kafka) : 4 topics. Clients REST synchrones via Gateway : MS-DOMICILIATION · MS-EDITIQUE · MS-GEN. Resilience4j Circuit Breaker · Retry backoff · Spring WebClient</w:t>
            </w:r>
          </w:p>
        </w:tc>
      </w:tr>
    </w:tbl>
    <w:p w:rsidR="00827300" w:rsidRDefault="00711441">
      <w:pPr>
        <w:spacing w:after="100"/>
        <w:rPr>
          <w:lang w:val="en-US"/>
        </w:rPr>
      </w:pPr>
      <w:r>
        <w:rPr>
          <w:noProof/>
        </w:rPr>
        <w:lastRenderedPageBreak/>
        <w:drawing>
          <wp:inline distT="0" distB="0" distL="0" distR="0">
            <wp:extent cx="6186805" cy="6186805"/>
            <wp:effectExtent l="0" t="0" r="0" b="0"/>
            <wp:docPr id="17" name="Image 17" descr="C:\Users\User\Downloads\fig4_ms_ava_inter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fig4_ms_ava_internal.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6805" cy="6186805"/>
                    </a:xfrm>
                    <a:prstGeom prst="rect">
                      <a:avLst/>
                    </a:prstGeom>
                    <a:noFill/>
                    <a:ln>
                      <a:noFill/>
                    </a:ln>
                  </pic:spPr>
                </pic:pic>
              </a:graphicData>
            </a:graphic>
          </wp:inline>
        </w:drawing>
      </w:r>
    </w:p>
    <w:p w:rsidR="00711441" w:rsidRDefault="00711441" w:rsidP="00711441">
      <w:pPr>
        <w:spacing w:after="200"/>
        <w:jc w:val="center"/>
      </w:pPr>
      <w:r>
        <w:rPr>
          <w:i/>
          <w:iCs/>
          <w:color w:val="555555"/>
          <w:sz w:val="18"/>
          <w:szCs w:val="18"/>
        </w:rPr>
        <w:t xml:space="preserve">Figure 3 — </w:t>
      </w:r>
      <w:r w:rsidRPr="00711441">
        <w:rPr>
          <w:i/>
          <w:iCs/>
          <w:color w:val="555555"/>
          <w:sz w:val="18"/>
          <w:szCs w:val="18"/>
        </w:rPr>
        <w:t>Architecture interne de MS-AVA en couches</w:t>
      </w:r>
    </w:p>
    <w:p w:rsidR="00711441" w:rsidRPr="00711441" w:rsidRDefault="00711441">
      <w:pPr>
        <w:spacing w:after="100"/>
      </w:pPr>
    </w:p>
    <w:p w:rsidR="00827300" w:rsidRDefault="002B200B">
      <w:pPr>
        <w:pStyle w:val="Titre2"/>
      </w:pPr>
      <w:r>
        <w:t>3.3 Catalogue des operations metier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400"/>
        <w:gridCol w:w="1200"/>
        <w:gridCol w:w="2760"/>
      </w:tblGrid>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Operation</w:t>
            </w:r>
          </w:p>
        </w:tc>
        <w:tc>
          <w:tcPr>
            <w:tcW w:w="12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Categorie</w:t>
            </w:r>
          </w:p>
        </w:tc>
        <w:tc>
          <w:tcPr>
            <w:tcW w:w="14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Types (T1-T5)</w:t>
            </w:r>
          </w:p>
        </w:tc>
        <w:tc>
          <w:tcPr>
            <w:tcW w:w="12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BCT temps reel</w:t>
            </w:r>
          </w:p>
        </w:tc>
        <w:tc>
          <w:tcPr>
            <w:tcW w:w="276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Remarque</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Ouverture dossier 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Dossier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Tous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Pieces justificatives Annexe 4</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Mise a jour beneficiaires</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Dossier</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Tous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Historique + Forces Online via MS-GEN</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MAJ marche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Dossier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T2 uniquement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Donnees contractuelles du marche</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Alimentation solde (DAT)</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Mouvement</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Tous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Plafond par type reglementaire</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Avance Article 10 (MOC interne)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Mouvement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T3</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Min(50%xCA N-1, 50 000-solde) — Circ. 2020-03</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Frais voyage (BBA/VIR/CAP)</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Mouvement</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Tous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Plafond 30 000 DT/FV — Formules A/B/C</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lastRenderedPageBreak/>
              <w:t>Retrocession RAV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Mouvement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Tous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Delai 30j ouvrables (parametre)</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Retrocession RRV</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Mouvement</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Tous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Delai 7j ouvrables</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Reservation CAP (blocage)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Tous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Compensation J+1 automatique</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Suspension dossier</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Dossier</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Tous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5 motifs BCT</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Levee de suspension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Dossier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Tous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Motif 1 : autorisation BCT F2 requise</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Cloture dossier</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Dossier</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Tous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3 motifs — sauf statut CLOS/REJETE</w:t>
            </w:r>
          </w:p>
        </w:tc>
      </w:tr>
      <w:tr w:rsidR="0082730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Batch reinitialisation 01/01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Batch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T1, T3, T4</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Oui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Idempotent — reprise partielle — Spring Batch</w:t>
            </w:r>
          </w:p>
        </w:tc>
      </w:tr>
    </w:tbl>
    <w:p w:rsidR="00827300" w:rsidRDefault="002B200B">
      <w:pPr>
        <w:shd w:val="clear" w:color="auto" w:fill="EAF3DE"/>
        <w:spacing w:before="120" w:after="120"/>
      </w:pPr>
      <w:r>
        <w:rPr>
          <w:i/>
          <w:iCs/>
          <w:color w:val="3B6D11"/>
          <w:sz w:val="20"/>
          <w:szCs w:val="20"/>
        </w:rPr>
        <w:t xml:space="preserve">  ★ = evenement publie sur Kafka (ava.reporting) → Centrale BCT genere DC-AVA XML</w:t>
      </w:r>
    </w:p>
    <w:p w:rsidR="00827300" w:rsidRDefault="00827300">
      <w:pPr>
        <w:spacing w:after="100"/>
      </w:pPr>
    </w:p>
    <w:p w:rsidR="00827300" w:rsidRDefault="002B200B">
      <w:pPr>
        <w:pStyle w:val="Titre2"/>
      </w:pPr>
      <w:r>
        <w:t>3.4 Modele de donnees Oracle — Schema AVA</w:t>
      </w:r>
    </w:p>
    <w:p w:rsidR="00EF25CE" w:rsidRDefault="00EF25CE">
      <w:pPr>
        <w:pStyle w:val="Titre2"/>
      </w:pPr>
      <w:r>
        <w:rPr>
          <w:noProof/>
        </w:rPr>
        <w:drawing>
          <wp:inline distT="0" distB="0" distL="0" distR="0">
            <wp:extent cx="6186805" cy="4486275"/>
            <wp:effectExtent l="0" t="0" r="0" b="0"/>
            <wp:docPr id="20" name="Image 20" descr="C:\Users\User\Downloads\fig5_erd_oracle_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fig5_erd_oracle_av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6805" cy="4486275"/>
                    </a:xfrm>
                    <a:prstGeom prst="rect">
                      <a:avLst/>
                    </a:prstGeom>
                    <a:noFill/>
                    <a:ln>
                      <a:noFill/>
                    </a:ln>
                  </pic:spPr>
                </pic:pic>
              </a:graphicData>
            </a:graphic>
          </wp:inline>
        </w:drawing>
      </w:r>
    </w:p>
    <w:p w:rsidR="00EF25CE" w:rsidRDefault="00EF25CE" w:rsidP="00EF25CE">
      <w:pPr>
        <w:spacing w:after="200"/>
        <w:jc w:val="center"/>
      </w:pPr>
      <w:r>
        <w:rPr>
          <w:i/>
          <w:iCs/>
          <w:color w:val="555555"/>
          <w:sz w:val="18"/>
          <w:szCs w:val="18"/>
        </w:rPr>
        <w:t xml:space="preserve">Figure 3 — </w:t>
      </w:r>
      <w:r w:rsidRPr="00EF25CE">
        <w:rPr>
          <w:i/>
          <w:iCs/>
          <w:color w:val="555555"/>
          <w:sz w:val="18"/>
          <w:szCs w:val="18"/>
        </w:rPr>
        <w:t>Modèle Entité-Relation — Schéma Oracle AVA</w:t>
      </w:r>
    </w:p>
    <w:p w:rsidR="00EF25CE" w:rsidRDefault="00EF25CE">
      <w:pPr>
        <w:pStyle w:val="Titre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3470"/>
        <w:gridCol w:w="2829"/>
      </w:tblGrid>
      <w:tr w:rsidR="0082730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854F0B"/>
            <w:tcMar>
              <w:top w:w="60" w:type="dxa"/>
              <w:left w:w="100" w:type="dxa"/>
              <w:bottom w:w="60" w:type="dxa"/>
              <w:right w:w="100" w:type="dxa"/>
            </w:tcMar>
            <w:vAlign w:val="center"/>
          </w:tcPr>
          <w:p w:rsidR="00827300" w:rsidRDefault="002B200B">
            <w:r>
              <w:rPr>
                <w:b/>
                <w:bCs/>
                <w:color w:val="FFFFFF"/>
                <w:sz w:val="18"/>
                <w:szCs w:val="18"/>
              </w:rPr>
              <w:t>Table</w:t>
            </w:r>
          </w:p>
        </w:tc>
        <w:tc>
          <w:tcPr>
            <w:tcW w:w="4000" w:type="dxa"/>
            <w:tcBorders>
              <w:top w:val="single" w:sz="1" w:space="0" w:color="CCCCCC"/>
              <w:left w:val="single" w:sz="1" w:space="0" w:color="CCCCCC"/>
              <w:bottom w:val="single" w:sz="1" w:space="0" w:color="CCCCCC"/>
              <w:right w:val="single" w:sz="1" w:space="0" w:color="CCCCCC"/>
            </w:tcBorders>
            <w:shd w:val="clear" w:color="auto" w:fill="854F0B"/>
            <w:tcMar>
              <w:top w:w="60" w:type="dxa"/>
              <w:left w:w="100" w:type="dxa"/>
              <w:bottom w:w="60" w:type="dxa"/>
              <w:right w:w="100" w:type="dxa"/>
            </w:tcMar>
            <w:vAlign w:val="center"/>
          </w:tcPr>
          <w:p w:rsidR="00827300" w:rsidRDefault="002B200B">
            <w:r>
              <w:rPr>
                <w:b/>
                <w:bCs/>
                <w:color w:val="FFFFFF"/>
                <w:sz w:val="18"/>
                <w:szCs w:val="18"/>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854F0B"/>
            <w:tcMar>
              <w:top w:w="60" w:type="dxa"/>
              <w:left w:w="100" w:type="dxa"/>
              <w:bottom w:w="60" w:type="dxa"/>
              <w:right w:w="100" w:type="dxa"/>
            </w:tcMar>
            <w:vAlign w:val="center"/>
          </w:tcPr>
          <w:p w:rsidR="00827300" w:rsidRDefault="002B200B">
            <w:r>
              <w:rPr>
                <w:b/>
                <w:bCs/>
                <w:color w:val="FFFFFF"/>
                <w:sz w:val="18"/>
                <w:szCs w:val="18"/>
              </w:rPr>
              <w:t>Relations</w:t>
            </w:r>
          </w:p>
        </w:tc>
      </w:tr>
      <w:tr w:rsidR="0082730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b/>
                <w:bCs/>
                <w:color w:val="111111"/>
                <w:sz w:val="18"/>
                <w:szCs w:val="18"/>
              </w:rPr>
              <w:t>OPERATIONS_DELEGUEES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Table principale — LE dossier AVA. Etat courant : type, statut, solde, plafond, dates, references BCT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Parent de toutes les tables enfants</w:t>
            </w:r>
          </w:p>
        </w:tc>
      </w:tr>
      <w:tr w:rsidR="0082730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OPERATIONS_DELEGUEES_MVT</w:t>
            </w:r>
          </w:p>
        </w:tc>
        <w:tc>
          <w:tcPr>
            <w:tcW w:w="40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Historique exhaustif immuable des mouvements : DAT, MOC, RAV, RRV, BBA, VIR, CAP</w:t>
            </w:r>
          </w:p>
        </w:tc>
        <w:tc>
          <w:tcPr>
            <w:tcW w:w="29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FK → OPERATIONS_DELEGUEES</w:t>
            </w:r>
          </w:p>
        </w:tc>
      </w:tr>
      <w:tr w:rsidR="0082730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lastRenderedPageBreak/>
              <w:t>BENEFICIAIRES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Beneficiaires autorises sur le dossier. CIN ou Passeport selon nationalite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FK → OPERATIONS_DELEGUEES</w:t>
            </w:r>
          </w:p>
        </w:tc>
      </w:tr>
      <w:tr w:rsidR="0082730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BENEFICIAIRES_MVT</w:t>
            </w:r>
          </w:p>
        </w:tc>
        <w:tc>
          <w:tcPr>
            <w:tcW w:w="40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Historique complet des modifications de beneficiaires</w:t>
            </w:r>
          </w:p>
        </w:tc>
        <w:tc>
          <w:tcPr>
            <w:tcW w:w="29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FK → BENEFICIAIRES</w:t>
            </w:r>
          </w:p>
        </w:tc>
      </w:tr>
      <w:tr w:rsidR="0082730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AVA_MARCHE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Donnees marche etranger — Type 2 IBANSYS uniquement. NUM_MARCHE, MONTANT, DATE_FIN, REF_CONTRAT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FK → OPERATIONS_DELEGUEES (0..1)</w:t>
            </w:r>
          </w:p>
        </w:tc>
      </w:tr>
      <w:tr w:rsidR="0082730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RESERVATION</w:t>
            </w:r>
          </w:p>
        </w:tc>
        <w:tc>
          <w:tcPr>
            <w:tcW w:w="40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Reservations CAP actives — blocage logique du solde en attente compensation J+1</w:t>
            </w:r>
          </w:p>
        </w:tc>
        <w:tc>
          <w:tcPr>
            <w:tcW w:w="29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FK → OPERATIONS_DELEGUEES</w:t>
            </w:r>
          </w:p>
        </w:tc>
      </w:tr>
      <w:tr w:rsidR="0082730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DOCUMENTS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References pieces justificatives (chemin physique ou GED selon config banque)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FK → OPERATIONS_DELEGUEES</w:t>
            </w:r>
          </w:p>
        </w:tc>
      </w:tr>
      <w:tr w:rsidR="0082730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Referentiel AVA</w:t>
            </w:r>
          </w:p>
        </w:tc>
        <w:tc>
          <w:tcPr>
            <w:tcW w:w="40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TYPE_DOSSIER_AVA · TYPE_MVT_AVA · AVA_ACTIVITE (26) · MOTIF_BLOCAGE (5)</w:t>
            </w:r>
          </w:p>
        </w:tc>
        <w:tc>
          <w:tcPr>
            <w:tcW w:w="29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Reference par tables principales</w:t>
            </w:r>
          </w:p>
        </w:tc>
      </w:tr>
      <w:tr w:rsidR="0082730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BATCH_AVA_REINIT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Suivi batch 01/01 : NUM_DOSSIER, ANNEE, STATUT (PENDING/DONE/ERROR), DATE_TRAITEMENT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Cle : NUM_DOSSIER + ANNEE (idempotence)</w:t>
            </w:r>
          </w:p>
        </w:tc>
      </w:tr>
    </w:tbl>
    <w:p w:rsidR="00827300" w:rsidRDefault="00827300">
      <w:pPr>
        <w:spacing w:after="100"/>
      </w:pPr>
    </w:p>
    <w:p w:rsidR="00827300" w:rsidRDefault="00827300">
      <w:pPr>
        <w:spacing w:before="120" w:after="60"/>
        <w:jc w:val="center"/>
      </w:pPr>
    </w:p>
    <w:p w:rsidR="00827300" w:rsidRDefault="00EF25CE">
      <w:pPr>
        <w:spacing w:after="200"/>
        <w:jc w:val="center"/>
      </w:pPr>
      <w:r>
        <w:rPr>
          <w:i/>
          <w:iCs/>
          <w:color w:val="555555"/>
          <w:sz w:val="18"/>
          <w:szCs w:val="18"/>
        </w:rPr>
        <w:t>Figure 6 — Machine à é</w:t>
      </w:r>
      <w:r>
        <w:rPr>
          <w:i/>
          <w:iCs/>
          <w:noProof/>
          <w:color w:val="555555"/>
          <w:sz w:val="18"/>
          <w:szCs w:val="18"/>
        </w:rPr>
        <w:drawing>
          <wp:inline distT="0" distB="0" distL="0" distR="0">
            <wp:extent cx="6186805" cy="5153025"/>
            <wp:effectExtent l="0" t="0" r="4445" b="0"/>
            <wp:docPr id="21" name="Image 21" descr="C:\Users\User\Downloads\fig6_state_machine_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Downloads\fig6_state_machine_ava.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6805" cy="5153025"/>
                    </a:xfrm>
                    <a:prstGeom prst="rect">
                      <a:avLst/>
                    </a:prstGeom>
                    <a:noFill/>
                    <a:ln>
                      <a:noFill/>
                    </a:ln>
                  </pic:spPr>
                </pic:pic>
              </a:graphicData>
            </a:graphic>
          </wp:inline>
        </w:drawing>
      </w:r>
      <w:r w:rsidR="002B200B">
        <w:rPr>
          <w:i/>
          <w:iCs/>
          <w:color w:val="555555"/>
          <w:sz w:val="18"/>
          <w:szCs w:val="18"/>
        </w:rPr>
        <w:t>tats + Tableau des transitions du dossier AVA</w:t>
      </w:r>
    </w:p>
    <w:p w:rsidR="00827300" w:rsidRDefault="00EF25CE">
      <w:pPr>
        <w:spacing w:before="120" w:after="60"/>
        <w:jc w:val="center"/>
      </w:pPr>
      <w:r>
        <w:rPr>
          <w:noProof/>
        </w:rPr>
        <w:lastRenderedPageBreak/>
        <w:drawing>
          <wp:inline distT="0" distB="0" distL="0" distR="0">
            <wp:extent cx="6186805" cy="4415155"/>
            <wp:effectExtent l="0" t="0" r="4445" b="0"/>
            <wp:docPr id="22" name="Image 22" descr="C:\Users\User\Downloads\fig7_solde_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fig7_solde_ava.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6805" cy="4415155"/>
                    </a:xfrm>
                    <a:prstGeom prst="rect">
                      <a:avLst/>
                    </a:prstGeom>
                    <a:noFill/>
                    <a:ln>
                      <a:noFill/>
                    </a:ln>
                  </pic:spPr>
                </pic:pic>
              </a:graphicData>
            </a:graphic>
          </wp:inline>
        </w:drawing>
      </w:r>
    </w:p>
    <w:p w:rsidR="00827300" w:rsidRDefault="002B200B">
      <w:pPr>
        <w:spacing w:after="200"/>
        <w:jc w:val="center"/>
      </w:pPr>
      <w:r>
        <w:rPr>
          <w:i/>
          <w:iCs/>
          <w:color w:val="555555"/>
          <w:sz w:val="18"/>
          <w:szCs w:val="18"/>
        </w:rPr>
        <w:t>Figure 7 — Balance credits/debits, Formule SOLDE_DISPONIBLE, Codes mouvements BCT</w:t>
      </w:r>
    </w:p>
    <w:p w:rsidR="00827300" w:rsidRDefault="002B200B">
      <w:pPr>
        <w:shd w:val="clear" w:color="auto" w:fill="FAECE7"/>
        <w:spacing w:before="120" w:after="120"/>
      </w:pPr>
      <w:r>
        <w:rPr>
          <w:i/>
          <w:iCs/>
          <w:color w:val="993C1D"/>
          <w:sz w:val="20"/>
          <w:szCs w:val="20"/>
        </w:rPr>
        <w:t xml:space="preserve">  Batch reinitialisation 01/01 : Spring Batch avec suivi par dossier en table BATCH_AVA_REINIT. Un dossier en erreur ne bloque pas les autres. Log en temps reel sur ava.logs et ava.reporting.</w:t>
      </w:r>
    </w:p>
    <w:p w:rsidR="00827300" w:rsidRDefault="002B200B">
      <w:r>
        <w:br w:type="page"/>
      </w:r>
    </w:p>
    <w:p w:rsidR="00827300" w:rsidRDefault="002B200B">
      <w:pPr>
        <w:pStyle w:val="Titre1"/>
      </w:pPr>
      <w:r>
        <w:lastRenderedPageBreak/>
        <w:t>4. Flux de communication inter-services</w:t>
      </w:r>
    </w:p>
    <w:p w:rsidR="00827300" w:rsidRDefault="002B200B">
      <w:pPr>
        <w:pStyle w:val="Titre2"/>
      </w:pPr>
      <w:r>
        <w:t>4.1 Regle fondamentale POST/PUT vs GET</w:t>
      </w:r>
    </w:p>
    <w:p w:rsidR="00827300" w:rsidRDefault="002B200B">
      <w:pPr>
        <w:spacing w:after="100"/>
      </w:pPr>
      <w:r>
        <w:t>Toute operation de modification transite par MS-WF. Toute consultation est acheminee directement vers MS-AVA ou MS-REF. Cette regle est enforced par la configuration de routage de l'API Gateway.</w:t>
      </w:r>
    </w:p>
    <w:p w:rsidR="00827300" w:rsidRDefault="002B200B">
      <w:pPr>
        <w:spacing w:after="100"/>
      </w:pPr>
      <w:r>
        <w:t>Le parametre finalize conditionne le comportement de MS-AVA : finalize=false = upsert operation uniquement (aucun statut modifie, aucun evenement Kafka). finalize=true = finalisation complete avec statut V, 4 topics Kafka, et appels synchrones MS-GEN et MS-EDITIQUE.</w:t>
      </w:r>
    </w:p>
    <w:p w:rsidR="00827300" w:rsidRDefault="00827300">
      <w:pPr>
        <w:spacing w:after="100"/>
      </w:pPr>
    </w:p>
    <w:p w:rsidR="00827300" w:rsidRDefault="002B200B">
      <w:pPr>
        <w:pStyle w:val="Titre2"/>
      </w:pPr>
      <w:r>
        <w:t>4.2 Sequences de flux</w:t>
      </w:r>
    </w:p>
    <w:p w:rsidR="00827300" w:rsidRDefault="002B200B">
      <w:pPr>
        <w:spacing w:after="100"/>
      </w:pPr>
      <w:r>
        <w:t>La Figure 8 illustre les deux phases d'une operation POST/PUT generique : SAVE_DRAFT (agent de saisie, finalize=false) puis APPROVE (superviseur, finalize=true). Tous les flux synchrones inter-MS passent par l'API Gateway.</w:t>
      </w:r>
    </w:p>
    <w:p w:rsidR="00EF25CE" w:rsidRDefault="00EF25CE">
      <w:pPr>
        <w:spacing w:after="100"/>
      </w:pPr>
      <w:r>
        <w:rPr>
          <w:noProof/>
        </w:rPr>
        <w:lastRenderedPageBreak/>
        <w:drawing>
          <wp:inline distT="0" distB="0" distL="0" distR="0">
            <wp:extent cx="6181725" cy="6743700"/>
            <wp:effectExtent l="0" t="0" r="9525" b="0"/>
            <wp:docPr id="25" name="Image 25" descr="C:\Users\User\Downloads\fig8_sequence_post_put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Downloads\fig8_sequence_post_put_v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1725" cy="6743700"/>
                    </a:xfrm>
                    <a:prstGeom prst="rect">
                      <a:avLst/>
                    </a:prstGeom>
                    <a:noFill/>
                    <a:ln>
                      <a:noFill/>
                    </a:ln>
                  </pic:spPr>
                </pic:pic>
              </a:graphicData>
            </a:graphic>
          </wp:inline>
        </w:drawing>
      </w:r>
    </w:p>
    <w:p w:rsidR="00EF25CE" w:rsidRDefault="00EF25CE" w:rsidP="00EF25CE">
      <w:pPr>
        <w:spacing w:after="200"/>
        <w:jc w:val="center"/>
        <w:rPr>
          <w:i/>
          <w:iCs/>
          <w:color w:val="555555"/>
          <w:sz w:val="18"/>
          <w:szCs w:val="18"/>
        </w:rPr>
      </w:pPr>
      <w:r>
        <w:rPr>
          <w:i/>
          <w:iCs/>
          <w:color w:val="555555"/>
          <w:sz w:val="18"/>
          <w:szCs w:val="18"/>
        </w:rPr>
        <w:t xml:space="preserve">Figure </w:t>
      </w:r>
      <w:r>
        <w:rPr>
          <w:i/>
          <w:iCs/>
          <w:color w:val="555555"/>
          <w:sz w:val="18"/>
          <w:szCs w:val="18"/>
        </w:rPr>
        <w:t>8</w:t>
      </w:r>
      <w:r>
        <w:rPr>
          <w:i/>
          <w:iCs/>
          <w:color w:val="555555"/>
          <w:sz w:val="18"/>
          <w:szCs w:val="18"/>
        </w:rPr>
        <w:t xml:space="preserve"> — </w:t>
      </w:r>
      <w:r w:rsidRPr="00EF25CE">
        <w:rPr>
          <w:i/>
          <w:iCs/>
          <w:color w:val="555555"/>
          <w:sz w:val="18"/>
          <w:szCs w:val="18"/>
        </w:rPr>
        <w:t>Séquence générique POST/PUT : cy</w:t>
      </w:r>
      <w:r>
        <w:rPr>
          <w:i/>
          <w:iCs/>
          <w:color w:val="555555"/>
          <w:sz w:val="18"/>
          <w:szCs w:val="18"/>
        </w:rPr>
        <w:t>cle complet SAVE_DRAFT → APPROV</w:t>
      </w:r>
    </w:p>
    <w:p w:rsidR="00EF25CE" w:rsidRDefault="00EF25CE" w:rsidP="00EF25CE">
      <w:pPr>
        <w:spacing w:after="200"/>
      </w:pPr>
      <w:r>
        <w:rPr>
          <w:i/>
          <w:iCs/>
          <w:noProof/>
          <w:color w:val="555555"/>
          <w:sz w:val="18"/>
          <w:szCs w:val="18"/>
        </w:rPr>
        <w:lastRenderedPageBreak/>
        <w:drawing>
          <wp:inline distT="0" distB="0" distL="0" distR="0">
            <wp:extent cx="6186805" cy="3124200"/>
            <wp:effectExtent l="0" t="0" r="0" b="0"/>
            <wp:docPr id="24" name="Image 24" descr="C:\Users\User\Downloads\fig9_sequence_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Downloads\fig9_sequence_get.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86805" cy="3124200"/>
                    </a:xfrm>
                    <a:prstGeom prst="rect">
                      <a:avLst/>
                    </a:prstGeom>
                    <a:noFill/>
                    <a:ln>
                      <a:noFill/>
                    </a:ln>
                  </pic:spPr>
                </pic:pic>
              </a:graphicData>
            </a:graphic>
          </wp:inline>
        </w:drawing>
      </w:r>
    </w:p>
    <w:p w:rsidR="00EF25CE" w:rsidRDefault="00EF25CE" w:rsidP="00EF25CE">
      <w:pPr>
        <w:spacing w:after="200"/>
        <w:jc w:val="center"/>
        <w:rPr>
          <w:i/>
          <w:iCs/>
          <w:color w:val="555555"/>
          <w:sz w:val="18"/>
          <w:szCs w:val="18"/>
        </w:rPr>
      </w:pPr>
      <w:r>
        <w:rPr>
          <w:i/>
          <w:iCs/>
          <w:color w:val="555555"/>
          <w:sz w:val="18"/>
          <w:szCs w:val="18"/>
        </w:rPr>
        <w:t xml:space="preserve">Figure </w:t>
      </w:r>
      <w:r>
        <w:rPr>
          <w:i/>
          <w:iCs/>
          <w:color w:val="555555"/>
          <w:sz w:val="18"/>
          <w:szCs w:val="18"/>
        </w:rPr>
        <w:t>9</w:t>
      </w:r>
      <w:r>
        <w:rPr>
          <w:i/>
          <w:iCs/>
          <w:color w:val="555555"/>
          <w:sz w:val="18"/>
          <w:szCs w:val="18"/>
        </w:rPr>
        <w:t xml:space="preserve"> — </w:t>
      </w:r>
      <w:r w:rsidRPr="00EF25CE">
        <w:rPr>
          <w:i/>
          <w:iCs/>
          <w:color w:val="555555"/>
          <w:sz w:val="18"/>
          <w:szCs w:val="18"/>
        </w:rPr>
        <w:t>Flux d'authentification JWT : login + validation</w:t>
      </w:r>
    </w:p>
    <w:p w:rsidR="00EF25CE" w:rsidRDefault="00EF25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
        <w:gridCol w:w="1273"/>
        <w:gridCol w:w="1581"/>
        <w:gridCol w:w="729"/>
        <w:gridCol w:w="1301"/>
        <w:gridCol w:w="982"/>
        <w:gridCol w:w="2983"/>
      </w:tblGrid>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Source</w:t>
            </w:r>
          </w:p>
        </w:tc>
        <w:tc>
          <w:tcPr>
            <w:tcW w:w="14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Destination</w:t>
            </w:r>
          </w:p>
        </w:tc>
        <w:tc>
          <w:tcPr>
            <w:tcW w:w="8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Via GW</w:t>
            </w:r>
          </w:p>
        </w:tc>
        <w:tc>
          <w:tcPr>
            <w:tcW w:w="9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Protocole</w:t>
            </w:r>
          </w:p>
        </w:tc>
        <w:tc>
          <w:tcPr>
            <w:tcW w:w="10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Synchro</w:t>
            </w:r>
          </w:p>
        </w:tc>
        <w:tc>
          <w:tcPr>
            <w:tcW w:w="336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Declencheur</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Frontend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API Gateway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HTTPS/TLS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Sync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Toute action banquier</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F02</w:t>
            </w:r>
          </w:p>
        </w:tc>
        <w:tc>
          <w:tcPr>
            <w:tcW w:w="14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API Gateway</w:t>
            </w:r>
          </w:p>
        </w:tc>
        <w:tc>
          <w:tcPr>
            <w:tcW w:w="14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MS-AUTH</w:t>
            </w:r>
          </w:p>
        </w:tc>
        <w:tc>
          <w:tcPr>
            <w:tcW w:w="8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Non</w:t>
            </w:r>
          </w:p>
        </w:tc>
        <w:tc>
          <w:tcPr>
            <w:tcW w:w="9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REST</w:t>
            </w:r>
          </w:p>
        </w:tc>
        <w:tc>
          <w:tcPr>
            <w:tcW w:w="1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Sync</w:t>
            </w:r>
          </w:p>
        </w:tc>
        <w:tc>
          <w:tcPr>
            <w:tcW w:w="336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Validation JWT sur chaque requete</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F03</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API Gateway</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MS-WF</w:t>
            </w:r>
          </w:p>
        </w:tc>
        <w:tc>
          <w:tcPr>
            <w:tcW w:w="8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Non</w:t>
            </w:r>
          </w:p>
        </w:tc>
        <w:tc>
          <w:tcPr>
            <w:tcW w:w="9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REST</w:t>
            </w:r>
          </w:p>
        </w:tc>
        <w:tc>
          <w:tcPr>
            <w:tcW w:w="10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Sync</w:t>
            </w:r>
          </w:p>
        </w:tc>
        <w:tc>
          <w:tcPr>
            <w:tcW w:w="33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Toutes operations modification</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F04</w:t>
            </w:r>
          </w:p>
        </w:tc>
        <w:tc>
          <w:tcPr>
            <w:tcW w:w="14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API Gateway</w:t>
            </w:r>
          </w:p>
        </w:tc>
        <w:tc>
          <w:tcPr>
            <w:tcW w:w="14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MS-AVA</w:t>
            </w:r>
          </w:p>
        </w:tc>
        <w:tc>
          <w:tcPr>
            <w:tcW w:w="8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Non</w:t>
            </w:r>
          </w:p>
        </w:tc>
        <w:tc>
          <w:tcPr>
            <w:tcW w:w="9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REST</w:t>
            </w:r>
          </w:p>
        </w:tc>
        <w:tc>
          <w:tcPr>
            <w:tcW w:w="100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Sync</w:t>
            </w:r>
          </w:p>
        </w:tc>
        <w:tc>
          <w:tcPr>
            <w:tcW w:w="3360" w:type="dxa"/>
            <w:tcBorders>
              <w:top w:val="single" w:sz="1" w:space="0" w:color="CCCCCC"/>
              <w:left w:val="single" w:sz="1" w:space="0" w:color="CCCCCC"/>
              <w:bottom w:val="single" w:sz="1" w:space="0" w:color="CCCCCC"/>
              <w:right w:val="single" w:sz="1" w:space="0" w:color="CCCCCC"/>
            </w:tcBorders>
            <w:shd w:val="clear" w:color="auto" w:fill="E6F1FB"/>
            <w:tcMar>
              <w:top w:w="60" w:type="dxa"/>
              <w:left w:w="100" w:type="dxa"/>
              <w:bottom w:w="60" w:type="dxa"/>
              <w:right w:w="100" w:type="dxa"/>
            </w:tcMar>
            <w:vAlign w:val="center"/>
          </w:tcPr>
          <w:p w:rsidR="00827300" w:rsidRDefault="002B200B">
            <w:r>
              <w:rPr>
                <w:color w:val="111111"/>
                <w:sz w:val="18"/>
                <w:szCs w:val="18"/>
              </w:rPr>
              <w:t>Consultation dossier / mouvements</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API Gateway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MS-REF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Non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REST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Sync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Chargement referentiels</w:t>
            </w:r>
          </w:p>
        </w:tc>
      </w:tr>
      <w:tr w:rsidR="00827300" w:rsidRPr="002B200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F06</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MS-WF</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MS-AVA</w:t>
            </w:r>
          </w:p>
        </w:tc>
        <w:tc>
          <w:tcPr>
            <w:tcW w:w="8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b/>
                <w:bCs/>
                <w:color w:val="111111"/>
                <w:sz w:val="18"/>
                <w:szCs w:val="18"/>
              </w:rPr>
              <w:t>Oui ★</w:t>
            </w:r>
          </w:p>
        </w:tc>
        <w:tc>
          <w:tcPr>
            <w:tcW w:w="9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REST</w:t>
            </w:r>
          </w:p>
        </w:tc>
        <w:tc>
          <w:tcPr>
            <w:tcW w:w="10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Sync</w:t>
            </w:r>
          </w:p>
        </w:tc>
        <w:tc>
          <w:tcPr>
            <w:tcW w:w="336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?finalize=true/false apres SoD</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MS-GEN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b/>
                <w:bCs/>
                <w:color w:val="111111"/>
                <w:sz w:val="18"/>
                <w:szCs w:val="18"/>
              </w:rPr>
              <w:t>Oui ★</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REST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Sync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Controle sanctions / archivage doc</w:t>
            </w:r>
          </w:p>
        </w:tc>
      </w:tr>
      <w:tr w:rsidR="00827300" w:rsidRPr="002B200B">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F08</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MS-AVA</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MS-EDITIQUE</w:t>
            </w:r>
          </w:p>
        </w:tc>
        <w:tc>
          <w:tcPr>
            <w:tcW w:w="8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b/>
                <w:bCs/>
                <w:color w:val="111111"/>
                <w:sz w:val="18"/>
                <w:szCs w:val="18"/>
              </w:rPr>
              <w:t>Oui ★</w:t>
            </w:r>
          </w:p>
        </w:tc>
        <w:tc>
          <w:tcPr>
            <w:tcW w:w="9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REST</w:t>
            </w:r>
          </w:p>
        </w:tc>
        <w:tc>
          <w:tcPr>
            <w:tcW w:w="10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Sync</w:t>
            </w:r>
          </w:p>
        </w:tc>
        <w:tc>
          <w:tcPr>
            <w:tcW w:w="33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Generation PDF apres finalize=true</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MS-DOMICILIATION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b/>
                <w:bCs/>
                <w:color w:val="111111"/>
                <w:sz w:val="18"/>
                <w:szCs w:val="18"/>
              </w:rPr>
              <w:t>Oui ★</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REST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Sync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CODE_ACTIVITE=24</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F10</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MS-AVA</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Kafka ava.reporting</w:t>
            </w:r>
          </w:p>
        </w:tc>
        <w:tc>
          <w:tcPr>
            <w:tcW w:w="8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Non</w:t>
            </w:r>
          </w:p>
        </w:tc>
        <w:tc>
          <w:tcPr>
            <w:tcW w:w="9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Kafka</w:t>
            </w:r>
          </w:p>
        </w:tc>
        <w:tc>
          <w:tcPr>
            <w:tcW w:w="10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Async exactly-once</w:t>
            </w:r>
          </w:p>
        </w:tc>
        <w:tc>
          <w:tcPr>
            <w:tcW w:w="3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Chaque finalize=true</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Kafka ava.commissions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Non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Kafka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Async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finalize=true</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F12</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MS-AVA</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Kafka ava.notifications</w:t>
            </w:r>
          </w:p>
        </w:tc>
        <w:tc>
          <w:tcPr>
            <w:tcW w:w="8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Non</w:t>
            </w:r>
          </w:p>
        </w:tc>
        <w:tc>
          <w:tcPr>
            <w:tcW w:w="9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Kafka</w:t>
            </w:r>
          </w:p>
        </w:tc>
        <w:tc>
          <w:tcPr>
            <w:tcW w:w="10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Async</w:t>
            </w:r>
          </w:p>
        </w:tc>
        <w:tc>
          <w:tcPr>
            <w:tcW w:w="336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finalize=true</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Tous 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Kafka ava.logs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Non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Kafka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Async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Toutes operations</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F14</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Kafka</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Centrale BCT</w:t>
            </w:r>
          </w:p>
        </w:tc>
        <w:tc>
          <w:tcPr>
            <w:tcW w:w="8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Non</w:t>
            </w:r>
          </w:p>
        </w:tc>
        <w:tc>
          <w:tcPr>
            <w:tcW w:w="9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Kafka</w:t>
            </w:r>
          </w:p>
        </w:tc>
        <w:tc>
          <w:tcPr>
            <w:tcW w:w="10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Async consume</w:t>
            </w:r>
          </w:p>
        </w:tc>
        <w:tc>
          <w:tcPr>
            <w:tcW w:w="33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Topic ava.reporting</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F18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Centrale BCT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BCT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Non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SFTP/HTTPS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Batch mensuel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DC-AVA XML + DUAV — J+15</w:t>
            </w:r>
          </w:p>
        </w:tc>
      </w:tr>
      <w:tr w:rsidR="00827300">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F20</w:t>
            </w:r>
          </w:p>
        </w:tc>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MS-REF-BQ</w:t>
            </w:r>
          </w:p>
        </w:tc>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SI Banque</w:t>
            </w:r>
          </w:p>
        </w:tc>
        <w:tc>
          <w:tcPr>
            <w:tcW w:w="8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Non</w:t>
            </w:r>
          </w:p>
        </w:tc>
        <w:tc>
          <w:tcPr>
            <w:tcW w:w="9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REST/DB</w:t>
            </w:r>
          </w:p>
        </w:tc>
        <w:tc>
          <w:tcPr>
            <w:tcW w:w="100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Mode A:batch / B:temps reel</w:t>
            </w:r>
          </w:p>
        </w:tc>
        <w:tc>
          <w:tcPr>
            <w:tcW w:w="33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color w:val="111111"/>
                <w:sz w:val="18"/>
                <w:szCs w:val="18"/>
              </w:rPr>
              <w:t>Synchro referentiel banque</w:t>
            </w:r>
          </w:p>
        </w:tc>
      </w:tr>
    </w:tbl>
    <w:p w:rsidR="00827300" w:rsidRDefault="002B200B">
      <w:pPr>
        <w:shd w:val="clear" w:color="auto" w:fill="EEEDFE"/>
        <w:spacing w:before="120" w:after="120"/>
      </w:pPr>
      <w:r>
        <w:rPr>
          <w:i/>
          <w:iCs/>
          <w:color w:val="534AB7"/>
          <w:sz w:val="20"/>
          <w:szCs w:val="20"/>
        </w:rPr>
        <w:lastRenderedPageBreak/>
        <w:t xml:space="preserve">  ★ via Gateway — tous les flux synchrones inter-MS passent par l'API Gateway, y compris MS-WF → MS-AVA et MS-AVA → services transverses.</w:t>
      </w:r>
    </w:p>
    <w:p w:rsidR="00827300" w:rsidRDefault="002B200B">
      <w:r>
        <w:br w:type="page"/>
      </w:r>
    </w:p>
    <w:p w:rsidR="00827300" w:rsidRDefault="002B200B">
      <w:pPr>
        <w:pStyle w:val="Titre1"/>
      </w:pPr>
      <w:r>
        <w:lastRenderedPageBreak/>
        <w:t>5. Bus Kafka — Messagerie asynchrone</w:t>
      </w:r>
    </w:p>
    <w:p w:rsidR="00827300" w:rsidRDefault="002B200B">
      <w:pPr>
        <w:pStyle w:val="Titre2"/>
      </w:pPr>
      <w:r>
        <w:t>5.1 Justification</w:t>
      </w:r>
    </w:p>
    <w:p w:rsidR="00827300" w:rsidRDefault="002B200B">
      <w:pPr>
        <w:spacing w:after="100"/>
      </w:pPr>
      <w:r>
        <w:t>Avant Kafka, les flux asynchrones de MS-AVA auraient necessite des appels REST synchrones vers les consommateurs. Trois risques majeurs : couplage de disponibilite (si MS-MONITORING est indisponible, MS-AVA echoue), perte d'evenements reglementaires BCT, et latence artificielle.</w:t>
      </w:r>
    </w:p>
    <w:p w:rsidR="00827300" w:rsidRDefault="002B200B">
      <w:pPr>
        <w:spacing w:after="100"/>
      </w:pPr>
      <w:r>
        <w:t>Kafka resout les trois : MS-AVA publie et oublie. Si un consommateur est indisponible, les evenements s'accumulent dans le topic et sont consommes a son retour — sans perte, sans retry applicatif.</w:t>
      </w:r>
    </w:p>
    <w:p w:rsidR="00827300" w:rsidRDefault="00827300">
      <w:pPr>
        <w:spacing w:after="100"/>
      </w:pPr>
    </w:p>
    <w:p w:rsidR="00827300" w:rsidRDefault="002B200B">
      <w:pPr>
        <w:pStyle w:val="Titre2"/>
      </w:pPr>
      <w:r>
        <w:t>5.2 Catalogue des 4 topics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1297"/>
        <w:gridCol w:w="1521"/>
        <w:gridCol w:w="1084"/>
        <w:gridCol w:w="1030"/>
        <w:gridCol w:w="1856"/>
        <w:gridCol w:w="713"/>
      </w:tblGrid>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b/>
                <w:bCs/>
                <w:color w:val="FFFFFF"/>
                <w:sz w:val="18"/>
                <w:szCs w:val="18"/>
              </w:rPr>
              <w:t>Topic</w:t>
            </w:r>
          </w:p>
        </w:tc>
        <w:tc>
          <w:tcPr>
            <w:tcW w:w="140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b/>
                <w:bCs/>
                <w:color w:val="FFFFFF"/>
                <w:sz w:val="18"/>
                <w:szCs w:val="18"/>
              </w:rPr>
              <w:t>Producteur</w:t>
            </w:r>
          </w:p>
        </w:tc>
        <w:tc>
          <w:tcPr>
            <w:tcW w:w="140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b/>
                <w:bCs/>
                <w:color w:val="FFFFFF"/>
                <w:sz w:val="18"/>
                <w:szCs w:val="18"/>
              </w:rPr>
              <w:t>Consommateur</w:t>
            </w:r>
          </w:p>
        </w:tc>
        <w:tc>
          <w:tcPr>
            <w:tcW w:w="120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b/>
                <w:bCs/>
                <w:color w:val="FFFFFF"/>
                <w:sz w:val="18"/>
                <w:szCs w:val="18"/>
              </w:rPr>
              <w:t>Garantie</w:t>
            </w:r>
          </w:p>
        </w:tc>
        <w:tc>
          <w:tcPr>
            <w:tcW w:w="100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b/>
                <w:bCs/>
                <w:color w:val="FFFFFF"/>
                <w:sz w:val="18"/>
                <w:szCs w:val="18"/>
              </w:rPr>
              <w:t>Retention</w:t>
            </w:r>
          </w:p>
        </w:tc>
        <w:tc>
          <w:tcPr>
            <w:tcW w:w="140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b/>
                <w:bCs/>
                <w:color w:val="FFFFFF"/>
                <w:sz w:val="18"/>
                <w:szCs w:val="18"/>
              </w:rPr>
              <w:t>Cle partition</w:t>
            </w:r>
          </w:p>
        </w:tc>
        <w:tc>
          <w:tcPr>
            <w:tcW w:w="92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b/>
                <w:bCs/>
                <w:color w:val="FFFFFF"/>
                <w:sz w:val="18"/>
                <w:szCs w:val="18"/>
              </w:rPr>
              <w:t>RF</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b/>
                <w:bCs/>
                <w:color w:val="111111"/>
                <w:sz w:val="18"/>
                <w:szCs w:val="18"/>
              </w:rPr>
              <w:t>ava.reporting</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MS-AVA</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Centrale BCT</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b/>
                <w:bCs/>
                <w:color w:val="111111"/>
                <w:sz w:val="18"/>
                <w:szCs w:val="18"/>
              </w:rPr>
              <w:t>exactly-once ★</w:t>
            </w:r>
          </w:p>
        </w:tc>
        <w:tc>
          <w:tcPr>
            <w:tcW w:w="10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90 jours</w:t>
            </w:r>
          </w:p>
        </w:tc>
        <w:tc>
          <w:tcPr>
            <w:tcW w:w="14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numDossier</w:t>
            </w:r>
          </w:p>
        </w:tc>
        <w:tc>
          <w:tcPr>
            <w:tcW w:w="92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3</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ava.commissions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MS-RECOM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at-least-once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14 jours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numDossier</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2</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ava.notifications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MS-AVA</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MS-MAILING</w:t>
            </w:r>
          </w:p>
        </w:tc>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at-least-once</w:t>
            </w:r>
          </w:p>
        </w:tc>
        <w:tc>
          <w:tcPr>
            <w:tcW w:w="10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7 jours</w:t>
            </w:r>
          </w:p>
        </w:tc>
        <w:tc>
          <w:tcPr>
            <w:tcW w:w="140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clientId</w:t>
            </w:r>
          </w:p>
        </w:tc>
        <w:tc>
          <w:tcPr>
            <w:tcW w:w="920" w:type="dxa"/>
            <w:tcBorders>
              <w:top w:val="single" w:sz="1" w:space="0" w:color="CCCCCC"/>
              <w:left w:val="single" w:sz="1" w:space="0" w:color="CCCCCC"/>
              <w:bottom w:val="single" w:sz="1" w:space="0" w:color="CCCCCC"/>
              <w:right w:val="single" w:sz="1" w:space="0" w:color="CCCCCC"/>
            </w:tcBorders>
            <w:shd w:val="clear" w:color="auto" w:fill="FAECE7"/>
            <w:tcMar>
              <w:top w:w="60" w:type="dxa"/>
              <w:left w:w="100" w:type="dxa"/>
              <w:bottom w:w="60" w:type="dxa"/>
              <w:right w:w="100" w:type="dxa"/>
            </w:tcMar>
            <w:vAlign w:val="center"/>
          </w:tcPr>
          <w:p w:rsidR="00827300" w:rsidRDefault="002B200B">
            <w:r>
              <w:rPr>
                <w:color w:val="111111"/>
                <w:sz w:val="18"/>
                <w:szCs w:val="18"/>
              </w:rPr>
              <w:t>2</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ava.logs</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Tous MS</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MS-MONITORING</w:t>
            </w:r>
          </w:p>
        </w:tc>
        <w:tc>
          <w:tcPr>
            <w:tcW w:w="12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at-least-once</w:t>
            </w:r>
          </w:p>
        </w:tc>
        <w:tc>
          <w:tcPr>
            <w:tcW w:w="10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30 jours</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msName+timestamp</w:t>
            </w:r>
          </w:p>
        </w:tc>
        <w:tc>
          <w:tcPr>
            <w:tcW w:w="920" w:type="dxa"/>
            <w:tcBorders>
              <w:top w:val="single" w:sz="1" w:space="0" w:color="CCCCCC"/>
              <w:left w:val="single" w:sz="1" w:space="0" w:color="CCCCCC"/>
              <w:bottom w:val="single" w:sz="1" w:space="0" w:color="CCCCCC"/>
              <w:right w:val="single" w:sz="1" w:space="0" w:color="CCCCCC"/>
            </w:tcBorders>
            <w:shd w:val="clear" w:color="auto" w:fill="EEEDFE"/>
            <w:tcMar>
              <w:top w:w="60" w:type="dxa"/>
              <w:left w:w="100" w:type="dxa"/>
              <w:bottom w:w="60" w:type="dxa"/>
              <w:right w:w="100" w:type="dxa"/>
            </w:tcMar>
            <w:vAlign w:val="center"/>
          </w:tcPr>
          <w:p w:rsidR="00827300" w:rsidRDefault="002B200B">
            <w:r>
              <w:rPr>
                <w:color w:val="111111"/>
                <w:sz w:val="18"/>
                <w:szCs w:val="18"/>
              </w:rPr>
              <w:t>3</w:t>
            </w:r>
          </w:p>
        </w:tc>
      </w:tr>
    </w:tbl>
    <w:p w:rsidR="00827300" w:rsidRDefault="002B200B">
      <w:pPr>
        <w:shd w:val="clear" w:color="auto" w:fill="FAEEDA"/>
        <w:spacing w:before="120" w:after="120"/>
      </w:pPr>
      <w:r w:rsidRPr="002B200B">
        <w:rPr>
          <w:i/>
          <w:iCs/>
          <w:color w:val="854F0B"/>
          <w:sz w:val="20"/>
          <w:szCs w:val="20"/>
          <w:lang w:val="en-US"/>
        </w:rPr>
        <w:t xml:space="preserve">  ★ exactly-once sur ava.reporting : config requise cote MS-AVA : enable.idempotence=true · acks=all · transactional.id=ava-producer. Cote Centrale BCT : isolation.level=read_committed · enable.auto.commit=false. </w:t>
      </w:r>
      <w:r>
        <w:rPr>
          <w:i/>
          <w:iCs/>
          <w:color w:val="854F0B"/>
          <w:sz w:val="20"/>
          <w:szCs w:val="20"/>
        </w:rPr>
        <w:t>Kafka deploye en KRaft mode (sans Zookeeper), 3 brokers.</w:t>
      </w:r>
    </w:p>
    <w:p w:rsidR="00827300" w:rsidRDefault="00827300">
      <w:pPr>
        <w:spacing w:after="100"/>
      </w:pPr>
    </w:p>
    <w:p w:rsidR="00827300" w:rsidRDefault="00EF25CE">
      <w:pPr>
        <w:spacing w:before="120" w:after="60"/>
        <w:jc w:val="center"/>
      </w:pPr>
      <w:r>
        <w:rPr>
          <w:noProof/>
        </w:rPr>
        <w:lastRenderedPageBreak/>
        <w:drawing>
          <wp:inline distT="0" distB="0" distL="0" distR="0">
            <wp:extent cx="6186805" cy="4810125"/>
            <wp:effectExtent l="0" t="0" r="0" b="0"/>
            <wp:docPr id="26" name="Image 26" descr="C:\Users\User\Downloads\fig11_kafka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Downloads\fig11_kafka_architectur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86805" cy="4810125"/>
                    </a:xfrm>
                    <a:prstGeom prst="rect">
                      <a:avLst/>
                    </a:prstGeom>
                    <a:noFill/>
                    <a:ln>
                      <a:noFill/>
                    </a:ln>
                  </pic:spPr>
                </pic:pic>
              </a:graphicData>
            </a:graphic>
          </wp:inline>
        </w:drawing>
      </w:r>
    </w:p>
    <w:p w:rsidR="00827300" w:rsidRDefault="002B200B">
      <w:pPr>
        <w:spacing w:after="200"/>
        <w:jc w:val="center"/>
      </w:pPr>
      <w:r>
        <w:rPr>
          <w:i/>
          <w:iCs/>
          <w:color w:val="555555"/>
          <w:sz w:val="18"/>
          <w:szCs w:val="18"/>
        </w:rPr>
        <w:t>Figure 11 — Architecture Kafka IBANSYS : producteurs, 4 topics, consommateurs + configuration</w:t>
      </w:r>
    </w:p>
    <w:p w:rsidR="00827300" w:rsidRDefault="00EF25CE">
      <w:pPr>
        <w:spacing w:after="100"/>
      </w:pPr>
      <w:r>
        <w:rPr>
          <w:noProof/>
        </w:rPr>
        <w:drawing>
          <wp:inline distT="0" distB="0" distL="0" distR="0">
            <wp:extent cx="6186805" cy="2543175"/>
            <wp:effectExtent l="0" t="0" r="4445" b="0"/>
            <wp:docPr id="28" name="Image 28" descr="C:\Users\User\Downloads\fig12_reporting_b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Downloads\fig12_reporting_bct.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86805" cy="2543175"/>
                    </a:xfrm>
                    <a:prstGeom prst="rect">
                      <a:avLst/>
                    </a:prstGeom>
                    <a:noFill/>
                    <a:ln>
                      <a:noFill/>
                    </a:ln>
                  </pic:spPr>
                </pic:pic>
              </a:graphicData>
            </a:graphic>
          </wp:inline>
        </w:drawing>
      </w:r>
    </w:p>
    <w:p w:rsidR="00EF25CE" w:rsidRDefault="00EF25CE" w:rsidP="000C2EF9">
      <w:pPr>
        <w:spacing w:after="200"/>
        <w:jc w:val="center"/>
      </w:pPr>
      <w:r>
        <w:rPr>
          <w:i/>
          <w:iCs/>
          <w:color w:val="555555"/>
          <w:sz w:val="18"/>
          <w:szCs w:val="18"/>
        </w:rPr>
        <w:t>Figure 1</w:t>
      </w:r>
      <w:r w:rsidR="000C2EF9">
        <w:rPr>
          <w:i/>
          <w:iCs/>
          <w:color w:val="555555"/>
          <w:sz w:val="18"/>
          <w:szCs w:val="18"/>
        </w:rPr>
        <w:t>2</w:t>
      </w:r>
      <w:r>
        <w:rPr>
          <w:i/>
          <w:iCs/>
          <w:color w:val="555555"/>
          <w:sz w:val="18"/>
          <w:szCs w:val="18"/>
        </w:rPr>
        <w:t xml:space="preserve"> — </w:t>
      </w:r>
      <w:r w:rsidR="000C2EF9" w:rsidRPr="000C2EF9">
        <w:rPr>
          <w:i/>
          <w:iCs/>
          <w:color w:val="555555"/>
          <w:sz w:val="18"/>
          <w:szCs w:val="18"/>
        </w:rPr>
        <w:t>Flux ava.reporting : MS-AVA → Centrale BCT → BCT</w:t>
      </w:r>
    </w:p>
    <w:p w:rsidR="00EF25CE" w:rsidRDefault="00EF25CE">
      <w:pPr>
        <w:spacing w:after="100"/>
      </w:pPr>
    </w:p>
    <w:p w:rsidR="00827300" w:rsidRDefault="002B200B">
      <w:pPr>
        <w:pStyle w:val="Titre2"/>
      </w:pPr>
      <w:r>
        <w:t>5.3 Flux ava.reporting → Centrale BCT → BCT</w:t>
      </w:r>
    </w:p>
    <w:p w:rsidR="00827300" w:rsidRDefault="002B200B">
      <w:pPr>
        <w:spacing w:after="100"/>
      </w:pPr>
      <w:r>
        <w:t xml:space="preserve">MS-AVA publie un evenement Kafka sur ava.reporting a chaque operation finalisee. La Centrale BCT (microservice IBANSYS autonome) consomme ces evenements et gere en interne le cycle de vie complet des declarations BCT : accumulation, generation DC-AVA XML, generation </w:t>
      </w:r>
      <w:r>
        <w:lastRenderedPageBreak/>
        <w:t>DUAV008R/009R ASCII, et envoi a la BCT avant le J+15 du mois suivant. La logique interne de la Centrale BCT est documentee dans son propre document.</w:t>
      </w:r>
    </w:p>
    <w:p w:rsidR="00827300" w:rsidRDefault="002B200B">
      <w:pPr>
        <w:shd w:val="clear" w:color="auto" w:fill="FAECE7"/>
        <w:spacing w:before="120" w:after="120"/>
      </w:pPr>
      <w:r>
        <w:rPr>
          <w:i/>
          <w:iCs/>
          <w:color w:val="993C1D"/>
          <w:sz w:val="20"/>
          <w:szCs w:val="20"/>
        </w:rPr>
        <w:t xml:space="preserve">  La garantie exactly-once sur ava.reporting est critique : une duplication entrainerait deux declarations DC-AVA identiques a la BCT pour la meme operation — infraction reglementaire directe.</w:t>
      </w:r>
    </w:p>
    <w:p w:rsidR="00827300" w:rsidRDefault="002B200B">
      <w:r>
        <w:br w:type="page"/>
      </w:r>
    </w:p>
    <w:p w:rsidR="00827300" w:rsidRDefault="002B200B">
      <w:pPr>
        <w:pStyle w:val="Titre1"/>
      </w:pPr>
      <w:r>
        <w:lastRenderedPageBreak/>
        <w:t>6. Securite</w:t>
      </w:r>
    </w:p>
    <w:p w:rsidR="00827300" w:rsidRDefault="002B200B">
      <w:pPr>
        <w:pStyle w:val="Titre2"/>
      </w:pPr>
      <w:r>
        <w:t>6.1 Authentification et autorisation</w:t>
      </w:r>
    </w:p>
    <w:p w:rsidR="00827300" w:rsidRDefault="002B200B">
      <w:pPr>
        <w:spacing w:after="100"/>
      </w:pPr>
      <w:r>
        <w:rPr>
          <w:b/>
          <w:bCs/>
        </w:rPr>
        <w:t>Flux JWT RS256</w:t>
      </w:r>
    </w:p>
    <w:p w:rsidR="00827300" w:rsidRDefault="002B200B">
      <w:pPr>
        <w:spacing w:after="100"/>
      </w:pPr>
      <w:r>
        <w:t>Le frontend obtient un JWT RS256 depuis MS-AUTH a la connexion (login LDAP). Sur chaque requete, la Gateway valide le token aupres de MS-AUTH avant propagation. Aucun microservice metier ne valide lui-meme le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Parametre</w:t>
            </w:r>
          </w:p>
        </w:tc>
        <w:tc>
          <w:tcPr>
            <w:tcW w:w="636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Valeur</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Algorithme de signature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RS256 (cle asymetrique — cle privee dans Secret K8s)</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Duree access token</w:t>
            </w:r>
          </w:p>
        </w:tc>
        <w:tc>
          <w:tcPr>
            <w:tcW w:w="636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15 minutes (parametre)</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Duree refresh token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8 heures (parametre)</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Source identites</w:t>
            </w:r>
          </w:p>
        </w:tc>
        <w:tc>
          <w:tcPr>
            <w:tcW w:w="636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LDAP — annuaire banque</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Headers propages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X-User-Id · X-Role-Code · X-Org-Node-Id</w:t>
            </w:r>
          </w:p>
        </w:tc>
      </w:tr>
    </w:tbl>
    <w:p w:rsidR="00827300" w:rsidRDefault="00827300">
      <w:pPr>
        <w:spacing w:after="100"/>
      </w:pPr>
    </w:p>
    <w:p w:rsidR="00827300" w:rsidRDefault="002B200B">
      <w:pPr>
        <w:spacing w:after="100"/>
      </w:pPr>
      <w:r>
        <w:rPr>
          <w:b/>
          <w:bCs/>
        </w:rPr>
        <w:t>Matrice RBAC et SoD</w:t>
      </w:r>
    </w:p>
    <w:p w:rsidR="00827300" w:rsidRDefault="000C2EF9">
      <w:pPr>
        <w:spacing w:before="120" w:after="60"/>
        <w:jc w:val="center"/>
      </w:pPr>
      <w:r>
        <w:rPr>
          <w:noProof/>
        </w:rPr>
        <w:drawing>
          <wp:inline distT="0" distB="0" distL="0" distR="0">
            <wp:extent cx="6186805" cy="4919980"/>
            <wp:effectExtent l="0" t="0" r="4445" b="0"/>
            <wp:docPr id="29" name="Image 29" descr="C:\Users\User\Downloads\fig14_rbac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ownloads\fig14_rbac_matrix.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6805" cy="4919980"/>
                    </a:xfrm>
                    <a:prstGeom prst="rect">
                      <a:avLst/>
                    </a:prstGeom>
                    <a:noFill/>
                    <a:ln>
                      <a:noFill/>
                    </a:ln>
                  </pic:spPr>
                </pic:pic>
              </a:graphicData>
            </a:graphic>
          </wp:inline>
        </w:drawing>
      </w:r>
    </w:p>
    <w:p w:rsidR="00827300" w:rsidRDefault="002B200B">
      <w:pPr>
        <w:spacing w:after="200"/>
        <w:jc w:val="center"/>
      </w:pPr>
      <w:r>
        <w:rPr>
          <w:i/>
          <w:iCs/>
          <w:color w:val="555555"/>
          <w:sz w:val="18"/>
          <w:szCs w:val="18"/>
        </w:rPr>
        <w:t>Figure 14 — Matrice RBAC et Separation des taches (SoD)</w:t>
      </w:r>
    </w:p>
    <w:p w:rsidR="00827300" w:rsidRDefault="00827300">
      <w:pPr>
        <w:spacing w:after="100"/>
      </w:pPr>
    </w:p>
    <w:p w:rsidR="00827300" w:rsidRDefault="002B200B">
      <w:pPr>
        <w:pStyle w:val="Titre2"/>
      </w:pPr>
      <w:r>
        <w:t>6.2 Securite des communications</w:t>
      </w:r>
    </w:p>
    <w:p w:rsidR="00827300" w:rsidRDefault="002B200B">
      <w:pPr>
        <w:spacing w:after="100"/>
      </w:pPr>
      <w:r>
        <w:lastRenderedPageBreak/>
        <w:t>TLS 1.3 sur toutes les communications entrantes (Frontend → Gateway) et inter-MS synchrones. Kafka utilise SSL/TLS port 9093. Les secrets sont geres via Secrets K8s, jamais dans les images Docker ni les ConfigMaps.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Secret K8s</w:t>
            </w:r>
          </w:p>
        </w:tc>
        <w:tc>
          <w:tcPr>
            <w:tcW w:w="636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vAlign w:val="center"/>
          </w:tcPr>
          <w:p w:rsidR="00827300" w:rsidRDefault="002B200B">
            <w:r>
              <w:rPr>
                <w:b/>
                <w:bCs/>
                <w:color w:val="FFFFFF"/>
                <w:sz w:val="18"/>
                <w:szCs w:val="18"/>
              </w:rPr>
              <w:t>Contenu</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ava-jwt-keypair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Cle privee RS256 (JWT signing) + cle publique</w:t>
            </w:r>
          </w:p>
        </w:tc>
      </w:tr>
      <w:tr w:rsidR="00827300" w:rsidRPr="002B200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ava-oracle-credentials</w:t>
            </w:r>
          </w:p>
        </w:tc>
        <w:tc>
          <w:tcPr>
            <w:tcW w:w="636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Username/password Oracle schema AVA</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ava-ldap-bind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DN et password LDAP bind MS-AUTH</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ava-kafka-ssl</w:t>
            </w:r>
          </w:p>
        </w:tc>
        <w:tc>
          <w:tcPr>
            <w:tcW w:w="636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Keystores SSL Kafka producteur/consommateur</w:t>
            </w:r>
          </w:p>
        </w:tc>
      </w:tr>
      <w:tr w:rsidR="0082730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ava-gen-api-keys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Cles API MS-GEN vers GED, Forces Online</w:t>
            </w:r>
          </w:p>
        </w:tc>
      </w:tr>
    </w:tbl>
    <w:p w:rsidR="00827300" w:rsidRDefault="00827300">
      <w:pPr>
        <w:spacing w:after="100"/>
      </w:pPr>
    </w:p>
    <w:p w:rsidR="00827300" w:rsidRDefault="002B200B">
      <w:pPr>
        <w:pStyle w:val="Titre2"/>
      </w:pPr>
      <w:r>
        <w:t>6.3 Audit trail</w:t>
      </w:r>
    </w:p>
    <w:p w:rsidR="00827300" w:rsidRDefault="002B200B">
      <w:pPr>
        <w:spacing w:after="100"/>
      </w:pPr>
      <w:r>
        <w:t>MS-WF capture un snapshot complet du payload a chaque etape de decision (SAVE_DRAFT, APPROVE, REJECT). Ce snapshot inclut userId, role, timestamp et etat complet de l'operation. Il est immuable et conserve dans la base Flowable.</w:t>
      </w:r>
    </w:p>
    <w:p w:rsidR="00827300" w:rsidRDefault="002B200B">
      <w:pPr>
        <w:spacing w:after="100"/>
      </w:pPr>
      <w:r>
        <w:t>Tous les microservices publient leurs logs sur ava.logs → MS-MONITORING. Les tentatives de violation SoD sont loguees automatiquement.</w:t>
      </w:r>
    </w:p>
    <w:p w:rsidR="00827300" w:rsidRDefault="002B200B">
      <w:pPr>
        <w:shd w:val="clear" w:color="auto" w:fill="FAEEDA"/>
        <w:spacing w:before="120" w:after="120"/>
      </w:pPr>
      <w:r>
        <w:rPr>
          <w:i/>
          <w:iCs/>
          <w:color w:val="854F0B"/>
          <w:sz w:val="20"/>
          <w:szCs w:val="20"/>
        </w:rPr>
        <w:t xml:space="preserve">  Elements de securite complementaires a definir avec l'equipe securite de la banque : rotation cles JWT, exigences SIEM, NetworkPolicy K8s, gestion acces privilegies (PAM).</w:t>
      </w:r>
    </w:p>
    <w:p w:rsidR="00827300" w:rsidRDefault="002B200B">
      <w:r>
        <w:br w:type="page"/>
      </w:r>
    </w:p>
    <w:p w:rsidR="00827300" w:rsidRDefault="002B200B">
      <w:pPr>
        <w:pStyle w:val="Titre1"/>
      </w:pPr>
      <w:r>
        <w:lastRenderedPageBreak/>
        <w:t>7. Deploiement Kubernetes</w:t>
      </w:r>
    </w:p>
    <w:p w:rsidR="00827300" w:rsidRDefault="002B200B">
      <w:pPr>
        <w:pStyle w:val="Titre2"/>
      </w:pPr>
      <w:r>
        <w:t>7.1 Organisation du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860"/>
      </w:tblGrid>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85FA5"/>
            <w:tcMar>
              <w:top w:w="60" w:type="dxa"/>
              <w:left w:w="100" w:type="dxa"/>
              <w:bottom w:w="60" w:type="dxa"/>
              <w:right w:w="100" w:type="dxa"/>
            </w:tcMar>
            <w:vAlign w:val="center"/>
          </w:tcPr>
          <w:p w:rsidR="00827300" w:rsidRDefault="002B200B">
            <w:r>
              <w:rPr>
                <w:b/>
                <w:bCs/>
                <w:color w:val="FFFFFF"/>
                <w:sz w:val="18"/>
                <w:szCs w:val="18"/>
              </w:rPr>
              <w:t>Namespace</w:t>
            </w:r>
          </w:p>
        </w:tc>
        <w:tc>
          <w:tcPr>
            <w:tcW w:w="4500" w:type="dxa"/>
            <w:tcBorders>
              <w:top w:val="single" w:sz="1" w:space="0" w:color="CCCCCC"/>
              <w:left w:val="single" w:sz="1" w:space="0" w:color="CCCCCC"/>
              <w:bottom w:val="single" w:sz="1" w:space="0" w:color="CCCCCC"/>
              <w:right w:val="single" w:sz="1" w:space="0" w:color="CCCCCC"/>
            </w:tcBorders>
            <w:shd w:val="clear" w:color="auto" w:fill="185FA5"/>
            <w:tcMar>
              <w:top w:w="60" w:type="dxa"/>
              <w:left w:w="100" w:type="dxa"/>
              <w:bottom w:w="60" w:type="dxa"/>
              <w:right w:w="100" w:type="dxa"/>
            </w:tcMar>
            <w:vAlign w:val="center"/>
          </w:tcPr>
          <w:p w:rsidR="00827300" w:rsidRDefault="002B200B">
            <w:r>
              <w:rPr>
                <w:b/>
                <w:bCs/>
                <w:color w:val="FFFFFF"/>
                <w:sz w:val="18"/>
                <w:szCs w:val="18"/>
              </w:rPr>
              <w:t>Composants</w:t>
            </w:r>
          </w:p>
        </w:tc>
        <w:tc>
          <w:tcPr>
            <w:tcW w:w="2860" w:type="dxa"/>
            <w:tcBorders>
              <w:top w:val="single" w:sz="1" w:space="0" w:color="CCCCCC"/>
              <w:left w:val="single" w:sz="1" w:space="0" w:color="CCCCCC"/>
              <w:bottom w:val="single" w:sz="1" w:space="0" w:color="CCCCCC"/>
              <w:right w:val="single" w:sz="1" w:space="0" w:color="CCCCCC"/>
            </w:tcBorders>
            <w:shd w:val="clear" w:color="auto" w:fill="185FA5"/>
            <w:tcMar>
              <w:top w:w="60" w:type="dxa"/>
              <w:left w:w="100" w:type="dxa"/>
              <w:bottom w:w="60" w:type="dxa"/>
              <w:right w:w="100" w:type="dxa"/>
            </w:tcMar>
            <w:vAlign w:val="center"/>
          </w:tcPr>
          <w:p w:rsidR="00827300" w:rsidRDefault="002B200B">
            <w:r>
              <w:rPr>
                <w:b/>
                <w:bCs/>
                <w:color w:val="FFFFFF"/>
                <w:sz w:val="18"/>
                <w:szCs w:val="18"/>
              </w:rPr>
              <w:t>Remarques</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ingress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NGINX Ingress Controller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TLS 1.3 · rate limiting · 2 repliques</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b/>
                <w:bCs/>
                <w:color w:val="111111"/>
                <w:sz w:val="18"/>
                <w:szCs w:val="18"/>
              </w:rPr>
              <w:t>ava-prod</w:t>
            </w:r>
          </w:p>
        </w:tc>
        <w:tc>
          <w:tcPr>
            <w:tcW w:w="45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MS-WF · MS-AVA · MS-AUTH · MS-REF · MS-REF-BQ · MS-DOMICILIATION · MS-RECOM · MS-EDITIQUE · MS-GEN · MS-MAILING · Centrale BCT · MS-MONITORING</w:t>
            </w:r>
          </w:p>
        </w:tc>
        <w:tc>
          <w:tcPr>
            <w:tcW w:w="28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MS-AVA : HPA 2→6 pods · Autres : 1 min</w:t>
            </w:r>
          </w:p>
        </w:tc>
      </w:tr>
      <w:tr w:rsidR="00827300" w:rsidRPr="002B20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Default="002B200B">
            <w:r>
              <w:rPr>
                <w:b/>
                <w:bCs/>
                <w:color w:val="FFFFFF"/>
                <w:sz w:val="18"/>
                <w:szCs w:val="18"/>
              </w:rPr>
              <w:t>messaging</w:t>
            </w:r>
          </w:p>
        </w:tc>
        <w:tc>
          <w:tcPr>
            <w:tcW w:w="450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Pr="002B200B" w:rsidRDefault="002B200B">
            <w:pPr>
              <w:rPr>
                <w:lang w:val="en-US"/>
              </w:rPr>
            </w:pPr>
            <w:r w:rsidRPr="002B200B">
              <w:rPr>
                <w:color w:val="FFFFFF"/>
                <w:sz w:val="18"/>
                <w:szCs w:val="18"/>
                <w:lang w:val="en-US"/>
              </w:rPr>
              <w:t>Apache Kafka — 3 brokers KRaft · 4 topics</w:t>
            </w:r>
          </w:p>
        </w:tc>
        <w:tc>
          <w:tcPr>
            <w:tcW w:w="2860" w:type="dxa"/>
            <w:tcBorders>
              <w:top w:val="single" w:sz="1" w:space="0" w:color="CCCCCC"/>
              <w:left w:val="single" w:sz="1" w:space="0" w:color="CCCCCC"/>
              <w:bottom w:val="single" w:sz="1" w:space="0" w:color="CCCCCC"/>
              <w:right w:val="single" w:sz="1" w:space="0" w:color="CCCCCC"/>
            </w:tcBorders>
            <w:shd w:val="clear" w:color="auto" w:fill="14142A"/>
            <w:tcMar>
              <w:top w:w="60" w:type="dxa"/>
              <w:left w:w="100" w:type="dxa"/>
              <w:bottom w:w="60" w:type="dxa"/>
              <w:right w:w="100" w:type="dxa"/>
            </w:tcMar>
            <w:vAlign w:val="center"/>
          </w:tcPr>
          <w:p w:rsidR="00827300" w:rsidRPr="002B200B" w:rsidRDefault="002B200B">
            <w:pPr>
              <w:rPr>
                <w:lang w:val="en-US"/>
              </w:rPr>
            </w:pPr>
            <w:r w:rsidRPr="002B200B">
              <w:rPr>
                <w:color w:val="FFFFFF"/>
                <w:sz w:val="18"/>
                <w:szCs w:val="18"/>
                <w:lang w:val="en-US"/>
              </w:rPr>
              <w:t>RF=3 · SSL/TLS 9093 · PVC 100Gi/broker</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data</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Oracle 19c+ (PVC 50Gi) · Redis (cache ref., sessions) · Flowable DB (schema WF Oracle)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Oracle DataGuard ou RAC selon banque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monitoring</w:t>
            </w:r>
          </w:p>
        </w:tc>
        <w:tc>
          <w:tcPr>
            <w:tcW w:w="45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MS-MONITORING · Prometheus · Grafana · Zipkin · Kafka UI</w:t>
            </w:r>
          </w:p>
        </w:tc>
        <w:tc>
          <w:tcPr>
            <w:tcW w:w="286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PVC logs 200Gi</w:t>
            </w:r>
          </w:p>
        </w:tc>
      </w:tr>
    </w:tbl>
    <w:p w:rsidR="00827300" w:rsidRDefault="00827300">
      <w:pPr>
        <w:spacing w:after="100"/>
      </w:pPr>
    </w:p>
    <w:p w:rsidR="000C2EF9" w:rsidRDefault="000C2EF9">
      <w:pPr>
        <w:spacing w:after="100"/>
      </w:pPr>
      <w:r>
        <w:rPr>
          <w:noProof/>
        </w:rPr>
        <w:lastRenderedPageBreak/>
        <w:drawing>
          <wp:inline distT="0" distB="0" distL="0" distR="0">
            <wp:extent cx="6186805" cy="6529705"/>
            <wp:effectExtent l="0" t="0" r="0" b="0"/>
            <wp:docPr id="31" name="Image 31" descr="C:\Users\User\Downloads\fig15_k8s_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Downloads\fig15_k8s_deployment.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6805" cy="6529705"/>
                    </a:xfrm>
                    <a:prstGeom prst="rect">
                      <a:avLst/>
                    </a:prstGeom>
                    <a:noFill/>
                    <a:ln>
                      <a:noFill/>
                    </a:ln>
                  </pic:spPr>
                </pic:pic>
              </a:graphicData>
            </a:graphic>
          </wp:inline>
        </w:drawing>
      </w:r>
    </w:p>
    <w:p w:rsidR="000C2EF9" w:rsidRDefault="000C2EF9" w:rsidP="000C2EF9">
      <w:pPr>
        <w:spacing w:after="200"/>
        <w:jc w:val="center"/>
      </w:pPr>
      <w:r>
        <w:rPr>
          <w:i/>
          <w:iCs/>
          <w:color w:val="555555"/>
          <w:sz w:val="18"/>
          <w:szCs w:val="18"/>
        </w:rPr>
        <w:t>Figure 1</w:t>
      </w:r>
      <w:r>
        <w:rPr>
          <w:i/>
          <w:iCs/>
          <w:color w:val="555555"/>
          <w:sz w:val="18"/>
          <w:szCs w:val="18"/>
        </w:rPr>
        <w:t>5</w:t>
      </w:r>
      <w:r>
        <w:rPr>
          <w:i/>
          <w:iCs/>
          <w:color w:val="555555"/>
          <w:sz w:val="18"/>
          <w:szCs w:val="18"/>
        </w:rPr>
        <w:t xml:space="preserve"> — </w:t>
      </w:r>
      <w:r w:rsidRPr="000C2EF9">
        <w:rPr>
          <w:i/>
          <w:iCs/>
          <w:color w:val="555555"/>
          <w:sz w:val="18"/>
          <w:szCs w:val="18"/>
        </w:rPr>
        <w:t>Schéma de déploiement Kubernetes</w:t>
      </w:r>
    </w:p>
    <w:p w:rsidR="000C2EF9" w:rsidRDefault="000C2EF9">
      <w:pPr>
        <w:spacing w:after="100"/>
      </w:pPr>
    </w:p>
    <w:p w:rsidR="00827300" w:rsidRDefault="002B200B">
      <w:pPr>
        <w:pStyle w:val="Titre2"/>
      </w:pPr>
      <w:r>
        <w:t>7.2 Ressources et HPA</w:t>
      </w: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400"/>
        <w:gridCol w:w="1400"/>
        <w:gridCol w:w="2000"/>
        <w:gridCol w:w="1360"/>
      </w:tblGrid>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85FA5"/>
            <w:tcMar>
              <w:top w:w="60" w:type="dxa"/>
              <w:left w:w="100" w:type="dxa"/>
              <w:bottom w:w="60" w:type="dxa"/>
              <w:right w:w="100" w:type="dxa"/>
            </w:tcMar>
            <w:vAlign w:val="center"/>
          </w:tcPr>
          <w:p w:rsidR="00827300" w:rsidRDefault="002B200B">
            <w:r>
              <w:rPr>
                <w:b/>
                <w:bCs/>
                <w:color w:val="FFFFFF"/>
                <w:sz w:val="18"/>
                <w:szCs w:val="18"/>
              </w:rPr>
              <w:t>Composant</w:t>
            </w:r>
          </w:p>
        </w:tc>
        <w:tc>
          <w:tcPr>
            <w:tcW w:w="1200" w:type="dxa"/>
            <w:tcBorders>
              <w:top w:val="single" w:sz="1" w:space="0" w:color="CCCCCC"/>
              <w:left w:val="single" w:sz="1" w:space="0" w:color="CCCCCC"/>
              <w:bottom w:val="single" w:sz="1" w:space="0" w:color="CCCCCC"/>
              <w:right w:val="single" w:sz="1" w:space="0" w:color="CCCCCC"/>
            </w:tcBorders>
            <w:shd w:val="clear" w:color="auto" w:fill="185FA5"/>
            <w:tcMar>
              <w:top w:w="60" w:type="dxa"/>
              <w:left w:w="100" w:type="dxa"/>
              <w:bottom w:w="60" w:type="dxa"/>
              <w:right w:w="100" w:type="dxa"/>
            </w:tcMar>
            <w:vAlign w:val="center"/>
          </w:tcPr>
          <w:p w:rsidR="00827300" w:rsidRDefault="002B200B">
            <w:r>
              <w:rPr>
                <w:b/>
                <w:bCs/>
                <w:color w:val="FFFFFF"/>
                <w:sz w:val="18"/>
                <w:szCs w:val="18"/>
              </w:rPr>
              <w:t>Rep. min/max</w:t>
            </w:r>
          </w:p>
        </w:tc>
        <w:tc>
          <w:tcPr>
            <w:tcW w:w="1400" w:type="dxa"/>
            <w:tcBorders>
              <w:top w:val="single" w:sz="1" w:space="0" w:color="CCCCCC"/>
              <w:left w:val="single" w:sz="1" w:space="0" w:color="CCCCCC"/>
              <w:bottom w:val="single" w:sz="1" w:space="0" w:color="CCCCCC"/>
              <w:right w:val="single" w:sz="1" w:space="0" w:color="CCCCCC"/>
            </w:tcBorders>
            <w:shd w:val="clear" w:color="auto" w:fill="185FA5"/>
            <w:tcMar>
              <w:top w:w="60" w:type="dxa"/>
              <w:left w:w="100" w:type="dxa"/>
              <w:bottom w:w="60" w:type="dxa"/>
              <w:right w:w="100" w:type="dxa"/>
            </w:tcMar>
            <w:vAlign w:val="center"/>
          </w:tcPr>
          <w:p w:rsidR="00827300" w:rsidRDefault="002B200B">
            <w:r>
              <w:rPr>
                <w:b/>
                <w:bCs/>
                <w:color w:val="FFFFFF"/>
                <w:sz w:val="18"/>
                <w:szCs w:val="18"/>
              </w:rPr>
              <w:t>CPU req/lim</w:t>
            </w:r>
          </w:p>
        </w:tc>
        <w:tc>
          <w:tcPr>
            <w:tcW w:w="1400" w:type="dxa"/>
            <w:tcBorders>
              <w:top w:val="single" w:sz="1" w:space="0" w:color="CCCCCC"/>
              <w:left w:val="single" w:sz="1" w:space="0" w:color="CCCCCC"/>
              <w:bottom w:val="single" w:sz="1" w:space="0" w:color="CCCCCC"/>
              <w:right w:val="single" w:sz="1" w:space="0" w:color="CCCCCC"/>
            </w:tcBorders>
            <w:shd w:val="clear" w:color="auto" w:fill="185FA5"/>
            <w:tcMar>
              <w:top w:w="60" w:type="dxa"/>
              <w:left w:w="100" w:type="dxa"/>
              <w:bottom w:w="60" w:type="dxa"/>
              <w:right w:w="100" w:type="dxa"/>
            </w:tcMar>
            <w:vAlign w:val="center"/>
          </w:tcPr>
          <w:p w:rsidR="00827300" w:rsidRDefault="002B200B">
            <w:r>
              <w:rPr>
                <w:b/>
                <w:bCs/>
                <w:color w:val="FFFFFF"/>
                <w:sz w:val="18"/>
                <w:szCs w:val="18"/>
              </w:rPr>
              <w:t>Mem req/lim</w:t>
            </w:r>
          </w:p>
        </w:tc>
        <w:tc>
          <w:tcPr>
            <w:tcW w:w="2000" w:type="dxa"/>
            <w:tcBorders>
              <w:top w:val="single" w:sz="1" w:space="0" w:color="CCCCCC"/>
              <w:left w:val="single" w:sz="1" w:space="0" w:color="CCCCCC"/>
              <w:bottom w:val="single" w:sz="1" w:space="0" w:color="CCCCCC"/>
              <w:right w:val="single" w:sz="1" w:space="0" w:color="CCCCCC"/>
            </w:tcBorders>
            <w:shd w:val="clear" w:color="auto" w:fill="185FA5"/>
            <w:tcMar>
              <w:top w:w="60" w:type="dxa"/>
              <w:left w:w="100" w:type="dxa"/>
              <w:bottom w:w="60" w:type="dxa"/>
              <w:right w:w="100" w:type="dxa"/>
            </w:tcMar>
            <w:vAlign w:val="center"/>
          </w:tcPr>
          <w:p w:rsidR="00827300" w:rsidRDefault="002B200B">
            <w:r>
              <w:rPr>
                <w:b/>
                <w:bCs/>
                <w:color w:val="FFFFFF"/>
                <w:sz w:val="18"/>
                <w:szCs w:val="18"/>
              </w:rPr>
              <w:t>HPA</w:t>
            </w:r>
          </w:p>
        </w:tc>
        <w:tc>
          <w:tcPr>
            <w:tcW w:w="1360" w:type="dxa"/>
            <w:tcBorders>
              <w:top w:val="single" w:sz="1" w:space="0" w:color="CCCCCC"/>
              <w:left w:val="single" w:sz="1" w:space="0" w:color="CCCCCC"/>
              <w:bottom w:val="single" w:sz="1" w:space="0" w:color="CCCCCC"/>
              <w:right w:val="single" w:sz="1" w:space="0" w:color="CCCCCC"/>
            </w:tcBorders>
            <w:shd w:val="clear" w:color="auto" w:fill="185FA5"/>
            <w:tcMar>
              <w:top w:w="60" w:type="dxa"/>
              <w:left w:w="100" w:type="dxa"/>
              <w:bottom w:w="60" w:type="dxa"/>
              <w:right w:w="100" w:type="dxa"/>
            </w:tcMar>
            <w:vAlign w:val="center"/>
          </w:tcPr>
          <w:p w:rsidR="00827300" w:rsidRDefault="002B200B">
            <w:r>
              <w:rPr>
                <w:b/>
                <w:bCs/>
                <w:color w:val="FFFFFF"/>
                <w:sz w:val="18"/>
                <w:szCs w:val="18"/>
              </w:rPr>
              <w:t>Strategie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API Gateway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2 / 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250m / 500m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256Mi / 512Mi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CPU 80%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RollingUpdate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MS-AUTH</w:t>
            </w:r>
          </w:p>
        </w:tc>
        <w:tc>
          <w:tcPr>
            <w:tcW w:w="12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2 / 4</w:t>
            </w:r>
          </w:p>
        </w:tc>
        <w:tc>
          <w:tcPr>
            <w:tcW w:w="14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250m / 500m</w:t>
            </w:r>
          </w:p>
        </w:tc>
        <w:tc>
          <w:tcPr>
            <w:tcW w:w="14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256Mi / 512Mi</w:t>
            </w:r>
          </w:p>
        </w:tc>
        <w:tc>
          <w:tcPr>
            <w:tcW w:w="2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CPU 80%</w:t>
            </w:r>
          </w:p>
        </w:tc>
        <w:tc>
          <w:tcPr>
            <w:tcW w:w="136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RollingUpdate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MS-WF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2 / 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500m / 1000m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512Mi / 1Gi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CPU 70%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RollingUpdate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b/>
                <w:bCs/>
                <w:color w:val="111111"/>
                <w:sz w:val="18"/>
                <w:szCs w:val="18"/>
              </w:rPr>
              <w:t>MS-AVA ★</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b/>
                <w:bCs/>
                <w:color w:val="111111"/>
                <w:sz w:val="18"/>
                <w:szCs w:val="18"/>
              </w:rPr>
              <w:t>2 / 6</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500m / 1000m</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512Mi / 1Gi</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b/>
                <w:bCs/>
                <w:color w:val="111111"/>
                <w:sz w:val="18"/>
                <w:szCs w:val="18"/>
              </w:rPr>
              <w:t>CPU 70% · scaleDown 300s</w:t>
            </w:r>
          </w:p>
        </w:tc>
        <w:tc>
          <w:tcPr>
            <w:tcW w:w="136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RollingUpdate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MS-REF</w:t>
            </w:r>
          </w:p>
        </w:tc>
        <w:tc>
          <w:tcPr>
            <w:tcW w:w="12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1 / 2</w:t>
            </w:r>
          </w:p>
        </w:tc>
        <w:tc>
          <w:tcPr>
            <w:tcW w:w="14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100m / 250m</w:t>
            </w:r>
          </w:p>
        </w:tc>
        <w:tc>
          <w:tcPr>
            <w:tcW w:w="14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128Mi / 256Mi</w:t>
            </w:r>
          </w:p>
        </w:tc>
        <w:tc>
          <w:tcPr>
            <w:tcW w:w="2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CPU 80%</w:t>
            </w:r>
          </w:p>
        </w:tc>
        <w:tc>
          <w:tcPr>
            <w:tcW w:w="136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RollingUpdate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lastRenderedPageBreak/>
              <w:t>MS-GEN / MS-EDITIQUE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1 /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250m / 500m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256Mi / 512Mi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CPU 75%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RollingUpdate</w:t>
            </w:r>
          </w:p>
        </w:tc>
      </w:tr>
      <w:tr w:rsidR="0082730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MS-RECOM / MS-MAILING</w:t>
            </w:r>
          </w:p>
        </w:tc>
        <w:tc>
          <w:tcPr>
            <w:tcW w:w="12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1 / 2</w:t>
            </w:r>
          </w:p>
        </w:tc>
        <w:tc>
          <w:tcPr>
            <w:tcW w:w="14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100m / 250m</w:t>
            </w:r>
          </w:p>
        </w:tc>
        <w:tc>
          <w:tcPr>
            <w:tcW w:w="14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128Mi / 256Mi</w:t>
            </w:r>
          </w:p>
        </w:tc>
        <w:tc>
          <w:tcPr>
            <w:tcW w:w="200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w:t>
            </w:r>
          </w:p>
        </w:tc>
        <w:tc>
          <w:tcPr>
            <w:tcW w:w="1360" w:type="dxa"/>
            <w:tcBorders>
              <w:top w:val="single" w:sz="1" w:space="0" w:color="CCCCCC"/>
              <w:left w:val="single" w:sz="1" w:space="0" w:color="CCCCCC"/>
              <w:bottom w:val="single" w:sz="1" w:space="0" w:color="CCCCCC"/>
              <w:right w:val="single" w:sz="1" w:space="0" w:color="CCCCCC"/>
            </w:tcBorders>
            <w:shd w:val="clear" w:color="auto" w:fill="D3D1C7"/>
            <w:tcMar>
              <w:top w:w="60" w:type="dxa"/>
              <w:left w:w="100" w:type="dxa"/>
              <w:bottom w:w="60" w:type="dxa"/>
              <w:right w:w="100" w:type="dxa"/>
            </w:tcMar>
            <w:vAlign w:val="center"/>
          </w:tcPr>
          <w:p w:rsidR="00827300" w:rsidRDefault="002B200B">
            <w:r>
              <w:rPr>
                <w:color w:val="111111"/>
                <w:sz w:val="18"/>
                <w:szCs w:val="18"/>
              </w:rPr>
              <w:t>RollingUpdate</w:t>
            </w:r>
          </w:p>
        </w:tc>
      </w:tr>
    </w:tbl>
    <w:p w:rsidR="00827300" w:rsidRDefault="002B200B">
      <w:pPr>
        <w:shd w:val="clear" w:color="auto" w:fill="FAEEDA"/>
        <w:spacing w:before="120" w:after="120"/>
      </w:pPr>
      <w:r w:rsidRPr="002B200B">
        <w:rPr>
          <w:i/>
          <w:iCs/>
          <w:color w:val="854F0B"/>
          <w:sz w:val="20"/>
          <w:szCs w:val="20"/>
          <w:lang w:val="en-US"/>
        </w:rPr>
        <w:t xml:space="preserve">  ★ HPA MS-AVA : minReplicas=2 · maxReplicas=6 · targetCPUUtilizationPercentage=70 · scaleDown stabilizationWindowSeconds=300. </w:t>
      </w:r>
      <w:r>
        <w:rPr>
          <w:i/>
          <w:iCs/>
          <w:color w:val="854F0B"/>
          <w:sz w:val="20"/>
          <w:szCs w:val="20"/>
        </w:rPr>
        <w:t>Valeurs indicatives a ajuster apres benchmarks de charge reelle.</w:t>
      </w:r>
    </w:p>
    <w:p w:rsidR="00827300" w:rsidRDefault="00827300">
      <w:pPr>
        <w:spacing w:after="100"/>
      </w:pPr>
    </w:p>
    <w:p w:rsidR="00827300" w:rsidRDefault="002B200B">
      <w:pPr>
        <w:pStyle w:val="Titre2"/>
      </w:pPr>
      <w:r>
        <w:t>7.3 Strategies de deploiement et CI/CD</w:t>
      </w:r>
    </w:p>
    <w:p w:rsidR="00827300" w:rsidRDefault="002B200B">
      <w:pPr>
        <w:spacing w:after="100"/>
      </w:pPr>
      <w:r>
        <w:t xml:space="preserve">Rolling Update sur tous les MS : maxUnavailable=0, maxSurge=1. </w:t>
      </w:r>
      <w:r w:rsidRPr="002B200B">
        <w:rPr>
          <w:lang w:val="en-US"/>
        </w:rPr>
        <w:t xml:space="preserve">Liveness et Readiness probes via /actuator/health. </w:t>
      </w:r>
      <w:r>
        <w:t>Pipeline : GitLab CI → Docker → Helm chart → kubectl rollout. Quatre environnements : DEV → INT → PREPROD → PROD avec promotion manuelle vers PREPROD et PROD.</w:t>
      </w:r>
    </w:p>
    <w:p w:rsidR="00827300" w:rsidRDefault="002B200B">
      <w:r>
        <w:br w:type="page"/>
      </w:r>
    </w:p>
    <w:p w:rsidR="00827300" w:rsidRDefault="002B200B">
      <w:pPr>
        <w:pStyle w:val="Titre1"/>
      </w:pPr>
      <w:r>
        <w:lastRenderedPageBreak/>
        <w:t>8. Exigences Non-Fonctionnelles (NFR)</w:t>
      </w:r>
    </w:p>
    <w:p w:rsidR="00827300" w:rsidRDefault="002B200B">
      <w:pPr>
        <w:shd w:val="clear" w:color="auto" w:fill="FAEEDA"/>
        <w:spacing w:before="120" w:after="120"/>
      </w:pPr>
      <w:r>
        <w:rPr>
          <w:i/>
          <w:iCs/>
          <w:color w:val="854F0B"/>
          <w:sz w:val="20"/>
          <w:szCs w:val="20"/>
        </w:rPr>
        <w:t xml:space="preserve">  Les valeurs ci-dessous sont des propositions IBANSYS/SMI soumises a validation avec la banque cliente avant contractualisation.</w:t>
      </w:r>
    </w:p>
    <w:p w:rsidR="00827300" w:rsidRDefault="008273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600"/>
        <w:gridCol w:w="2000"/>
        <w:gridCol w:w="1760"/>
      </w:tblGrid>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Axe NFR</w:t>
            </w:r>
          </w:p>
        </w:tc>
        <w:tc>
          <w:tcPr>
            <w:tcW w:w="22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Exigence</w:t>
            </w:r>
          </w:p>
        </w:tc>
        <w:tc>
          <w:tcPr>
            <w:tcW w:w="16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Cible proposee</w:t>
            </w:r>
          </w:p>
        </w:tc>
        <w:tc>
          <w:tcPr>
            <w:tcW w:w="20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Mecanisme</w:t>
            </w:r>
          </w:p>
        </w:tc>
        <w:tc>
          <w:tcPr>
            <w:tcW w:w="176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vAlign w:val="center"/>
          </w:tcPr>
          <w:p w:rsidR="00827300" w:rsidRDefault="002B200B">
            <w:r>
              <w:rPr>
                <w:b/>
                <w:bCs/>
                <w:color w:val="FFFFFF"/>
                <w:sz w:val="18"/>
                <w:szCs w:val="18"/>
              </w:rPr>
              <w:t>Statut</w:t>
            </w:r>
          </w:p>
        </w:tc>
      </w:tr>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Disponibilite</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Uptime PROD</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b/>
                <w:bCs/>
                <w:color w:val="111111"/>
                <w:sz w:val="18"/>
                <w:szCs w:val="18"/>
              </w:rPr>
              <w:t>99,9% (9h/an)</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HPA · Liveness · Oracle DataGuard</w:t>
            </w:r>
          </w:p>
        </w:tc>
        <w:tc>
          <w:tcPr>
            <w:tcW w:w="17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b/>
                <w:bCs/>
                <w:color w:val="854F0B"/>
                <w:sz w:val="18"/>
                <w:szCs w:val="18"/>
              </w:rPr>
              <w:t>A valider ⚠</w:t>
            </w:r>
          </w:p>
        </w:tc>
      </w:tr>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Performance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Latence P95 GET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b/>
                <w:bCs/>
                <w:color w:val="111111"/>
                <w:sz w:val="18"/>
                <w:szCs w:val="18"/>
              </w:rPr>
              <w:t>&lt; 300ms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Cache Redis · Index Oracle · HikariCP</w:t>
            </w:r>
          </w:p>
        </w:tc>
        <w:tc>
          <w:tcPr>
            <w:tcW w:w="17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b/>
                <w:bCs/>
                <w:color w:val="854F0B"/>
                <w:sz w:val="18"/>
                <w:szCs w:val="18"/>
              </w:rPr>
              <w:t>A valider ⚠</w:t>
            </w:r>
          </w:p>
        </w:tc>
      </w:tr>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Performance</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Latence P95 POST/PUT</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b/>
                <w:bCs/>
                <w:color w:val="111111"/>
                <w:sz w:val="18"/>
                <w:szCs w:val="18"/>
              </w:rPr>
              <w:t>&lt; 800ms</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Async Kafka · sync MS-GEN optimise</w:t>
            </w:r>
          </w:p>
        </w:tc>
        <w:tc>
          <w:tcPr>
            <w:tcW w:w="17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b/>
                <w:bCs/>
                <w:color w:val="854F0B"/>
                <w:sz w:val="18"/>
                <w:szCs w:val="18"/>
              </w:rPr>
              <w:t>A valider ⚠</w:t>
            </w:r>
          </w:p>
        </w:tc>
      </w:tr>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Scalabilite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Charge de pointe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b/>
                <w:bCs/>
                <w:color w:val="111111"/>
                <w:sz w:val="18"/>
                <w:szCs w:val="18"/>
              </w:rPr>
              <w:t>100 req/s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HPA 2→6 pods MS-AVA · CPU 70%</w:t>
            </w:r>
          </w:p>
        </w:tc>
        <w:tc>
          <w:tcPr>
            <w:tcW w:w="17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b/>
                <w:bCs/>
                <w:color w:val="854F0B"/>
                <w:sz w:val="18"/>
                <w:szCs w:val="18"/>
              </w:rPr>
              <w:t>A valider ⚠</w:t>
            </w:r>
          </w:p>
        </w:tc>
      </w:tr>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Resilience</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Circuit Breaker</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Timeout 3s · Retry x2</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Resilience4j · Backoff exponentiel</w:t>
            </w:r>
          </w:p>
        </w:tc>
        <w:tc>
          <w:tcPr>
            <w:tcW w:w="17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b/>
                <w:bCs/>
                <w:color w:val="3B6D11"/>
                <w:sz w:val="18"/>
                <w:szCs w:val="18"/>
              </w:rPr>
              <w:t>Confirme ✓</w:t>
            </w:r>
          </w:p>
        </w:tc>
      </w:tr>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Reprise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color w:val="111111"/>
                <w:sz w:val="18"/>
                <w:szCs w:val="18"/>
              </w:rPr>
              <w:t>RTO / RPO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Default="002B200B">
            <w:r>
              <w:rPr>
                <w:b/>
                <w:bCs/>
                <w:color w:val="111111"/>
                <w:sz w:val="18"/>
                <w:szCs w:val="18"/>
              </w:rPr>
              <w:t>4h / 1h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Oracle DataGuard · PVC snapshots K8s</w:t>
            </w:r>
          </w:p>
        </w:tc>
        <w:tc>
          <w:tcPr>
            <w:tcW w:w="1760" w:type="dxa"/>
            <w:tcBorders>
              <w:top w:val="single" w:sz="1" w:space="0" w:color="CCCCCC"/>
              <w:left w:val="single" w:sz="1" w:space="0" w:color="CCCCCC"/>
              <w:bottom w:val="single" w:sz="1" w:space="0" w:color="CCCCCC"/>
              <w:right w:val="single" w:sz="1" w:space="0" w:color="CCCCCC"/>
            </w:tcBorders>
            <w:shd w:val="clear" w:color="auto" w:fill="FAEEDA"/>
            <w:tcMar>
              <w:top w:w="60" w:type="dxa"/>
              <w:left w:w="100" w:type="dxa"/>
              <w:bottom w:w="60" w:type="dxa"/>
              <w:right w:w="100" w:type="dxa"/>
            </w:tcMar>
            <w:vAlign w:val="center"/>
          </w:tcPr>
          <w:p w:rsidR="00827300" w:rsidRDefault="002B200B">
            <w:r>
              <w:rPr>
                <w:b/>
                <w:bCs/>
                <w:color w:val="854F0B"/>
                <w:sz w:val="18"/>
                <w:szCs w:val="18"/>
              </w:rPr>
              <w:t>A valider ⚠</w:t>
            </w:r>
          </w:p>
        </w:tc>
      </w:tr>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Conformite BCT</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Delai declaration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color w:val="111111"/>
                <w:sz w:val="18"/>
                <w:szCs w:val="18"/>
              </w:rPr>
              <w:t>≤ J+15 mois</w:t>
            </w:r>
          </w:p>
        </w:tc>
        <w:tc>
          <w:tcPr>
            <w:tcW w:w="200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Kafka exactly-once · Centrale BCT</w:t>
            </w:r>
          </w:p>
        </w:tc>
        <w:tc>
          <w:tcPr>
            <w:tcW w:w="17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b/>
                <w:bCs/>
                <w:color w:val="3B6D11"/>
                <w:sz w:val="18"/>
                <w:szCs w:val="18"/>
              </w:rPr>
              <w:t>Confirme ✓</w:t>
            </w:r>
          </w:p>
        </w:tc>
      </w:tr>
      <w:tr w:rsidR="0082730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Auditabilite</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Traçabilite ops</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Default="002B200B">
            <w:r>
              <w:rPr>
                <w:color w:val="111111"/>
                <w:sz w:val="18"/>
                <w:szCs w:val="18"/>
              </w:rPr>
              <w:t>100% operations</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60" w:type="dxa"/>
              <w:left w:w="100" w:type="dxa"/>
              <w:bottom w:w="60" w:type="dxa"/>
              <w:right w:w="100" w:type="dxa"/>
            </w:tcMar>
            <w:vAlign w:val="center"/>
          </w:tcPr>
          <w:p w:rsidR="00827300" w:rsidRPr="002B200B" w:rsidRDefault="002B200B">
            <w:pPr>
              <w:rPr>
                <w:lang w:val="en-US"/>
              </w:rPr>
            </w:pPr>
            <w:r w:rsidRPr="002B200B">
              <w:rPr>
                <w:color w:val="111111"/>
                <w:sz w:val="18"/>
                <w:szCs w:val="18"/>
                <w:lang w:val="en-US"/>
              </w:rPr>
              <w:t>MS-WF snapshot · ava.logs</w:t>
            </w:r>
          </w:p>
        </w:tc>
        <w:tc>
          <w:tcPr>
            <w:tcW w:w="1760" w:type="dxa"/>
            <w:tcBorders>
              <w:top w:val="single" w:sz="1" w:space="0" w:color="CCCCCC"/>
              <w:left w:val="single" w:sz="1" w:space="0" w:color="CCCCCC"/>
              <w:bottom w:val="single" w:sz="1" w:space="0" w:color="CCCCCC"/>
              <w:right w:val="single" w:sz="1" w:space="0" w:color="CCCCCC"/>
            </w:tcBorders>
            <w:shd w:val="clear" w:color="auto" w:fill="EAF3DE"/>
            <w:tcMar>
              <w:top w:w="60" w:type="dxa"/>
              <w:left w:w="100" w:type="dxa"/>
              <w:bottom w:w="60" w:type="dxa"/>
              <w:right w:w="100" w:type="dxa"/>
            </w:tcMar>
            <w:vAlign w:val="center"/>
          </w:tcPr>
          <w:p w:rsidR="00827300" w:rsidRDefault="002B200B">
            <w:r>
              <w:rPr>
                <w:b/>
                <w:bCs/>
                <w:color w:val="3B6D11"/>
                <w:sz w:val="18"/>
                <w:szCs w:val="18"/>
              </w:rPr>
              <w:t>Confirme ✓</w:t>
            </w:r>
          </w:p>
        </w:tc>
      </w:tr>
    </w:tbl>
    <w:p w:rsidR="00827300" w:rsidRDefault="00827300">
      <w:pPr>
        <w:spacing w:after="100"/>
      </w:pPr>
    </w:p>
    <w:p w:rsidR="00827300" w:rsidRDefault="002B200B">
      <w:pPr>
        <w:shd w:val="clear" w:color="auto" w:fill="FAEEDA"/>
        <w:spacing w:before="120" w:after="120"/>
      </w:pPr>
      <w:r>
        <w:rPr>
          <w:i/>
          <w:iCs/>
          <w:color w:val="854F0B"/>
          <w:sz w:val="20"/>
          <w:szCs w:val="20"/>
        </w:rPr>
        <w:t xml:space="preserve">  Performance : P95 &lt; 300ms pour les GET (cache Redis + index Oracle), P95 &lt; 800ms pour les POST/PUT (inclut validation JWT, traitement SoD, controles metier, appels sync MS-GEN/MS-EDITIQUE, publication Kafka). Les flux Kafka asynchrones (MS-RECOM, MS-MAILING, MS-MONITORING) ne contribuent pas a la latence POST/PUT.</w:t>
      </w:r>
    </w:p>
    <w:p w:rsidR="00827300" w:rsidRDefault="00827300">
      <w:pPr>
        <w:spacing w:after="100"/>
      </w:pPr>
    </w:p>
    <w:p w:rsidR="00827300" w:rsidRDefault="002B200B">
      <w:pPr>
        <w:spacing w:before="720"/>
        <w:jc w:val="center"/>
      </w:pPr>
      <w:r>
        <w:rPr>
          <w:i/>
          <w:iCs/>
          <w:color w:val="888888"/>
          <w:sz w:val="20"/>
          <w:szCs w:val="20"/>
        </w:rPr>
        <w:t>— Fin du document —</w:t>
      </w:r>
    </w:p>
    <w:p w:rsidR="00827300" w:rsidRDefault="002B200B">
      <w:pPr>
        <w:jc w:val="center"/>
      </w:pPr>
      <w:r>
        <w:rPr>
          <w:color w:val="AAAAAA"/>
          <w:sz w:val="18"/>
          <w:szCs w:val="18"/>
        </w:rPr>
        <w:t>IBANSYS / SMI · SAD MS-AVA · v1.0 · Mai 2026 · CONFIDENTIEL</w:t>
      </w:r>
    </w:p>
    <w:sectPr w:rsidR="00827300">
      <w:headerReference w:type="default" r:id="rId22"/>
      <w:footerReference w:type="default" r:id="rId2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48B7" w:rsidRDefault="001648B7">
      <w:r>
        <w:separator/>
      </w:r>
    </w:p>
  </w:endnote>
  <w:endnote w:type="continuationSeparator" w:id="0">
    <w:p w:rsidR="001648B7" w:rsidRDefault="00164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00B" w:rsidRDefault="002B200B">
    <w:pPr>
      <w:pBdr>
        <w:top w:val="single" w:sz="4" w:space="2" w:color="0F6E56"/>
      </w:pBdr>
      <w:tabs>
        <w:tab w:val="right" w:pos="9360"/>
      </w:tabs>
      <w:spacing w:before="60"/>
    </w:pPr>
    <w:r>
      <w:rPr>
        <w:color w:val="888888"/>
        <w:sz w:val="18"/>
        <w:szCs w:val="18"/>
      </w:rPr>
      <w:t>SAD — Architecture MS-AVA  ·  IBANSYS/SMI</w:t>
    </w:r>
    <w:r>
      <w:rPr>
        <w:color w:val="888888"/>
        <w:sz w:val="18"/>
        <w:szCs w:val="18"/>
      </w:rPr>
      <w:tab/>
      <w:t xml:space="preserve">Page </w:t>
    </w:r>
    <w:r>
      <w:fldChar w:fldCharType="begin"/>
    </w:r>
    <w:r>
      <w:instrText>PAGE</w:instrText>
    </w:r>
    <w:r>
      <w:fldChar w:fldCharType="separate"/>
    </w:r>
    <w:r w:rsidR="00D420E6">
      <w:rPr>
        <w:noProof/>
      </w:rPr>
      <w:t>24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48B7" w:rsidRDefault="001648B7">
      <w:r>
        <w:separator/>
      </w:r>
    </w:p>
  </w:footnote>
  <w:footnote w:type="continuationSeparator" w:id="0">
    <w:p w:rsidR="001648B7" w:rsidRDefault="001648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00B" w:rsidRDefault="002B200B">
    <w:pPr>
      <w:pBdr>
        <w:bottom w:val="single" w:sz="4" w:space="2" w:color="0F6E56"/>
      </w:pBdr>
      <w:spacing w:after="60"/>
    </w:pPr>
    <w:r>
      <w:rPr>
        <w:color w:val="888888"/>
        <w:sz w:val="18"/>
        <w:szCs w:val="18"/>
      </w:rPr>
      <w:t xml:space="preserve">IBANSYS / SMI  ·  SAD — MS-AVA  ·  v1.0  ·  Mai 2026  ·  </w:t>
    </w:r>
    <w:r>
      <w:rPr>
        <w:b/>
        <w:bCs/>
        <w:color w:val="993C1D"/>
        <w:sz w:val="18"/>
        <w:szCs w:val="18"/>
      </w:rPr>
      <w:t>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1E6AB4"/>
    <w:multiLevelType w:val="hybridMultilevel"/>
    <w:tmpl w:val="88DA92B6"/>
    <w:lvl w:ilvl="0" w:tplc="C32AA060">
      <w:start w:val="1"/>
      <w:numFmt w:val="bullet"/>
      <w:lvlText w:val="•"/>
      <w:lvlJc w:val="left"/>
      <w:pPr>
        <w:ind w:left="720" w:hanging="360"/>
      </w:pPr>
    </w:lvl>
    <w:lvl w:ilvl="1" w:tplc="2C4E028E">
      <w:numFmt w:val="decimal"/>
      <w:lvlText w:val=""/>
      <w:lvlJc w:val="left"/>
    </w:lvl>
    <w:lvl w:ilvl="2" w:tplc="5DDAD572">
      <w:numFmt w:val="decimal"/>
      <w:lvlText w:val=""/>
      <w:lvlJc w:val="left"/>
    </w:lvl>
    <w:lvl w:ilvl="3" w:tplc="2B7C7DAA">
      <w:numFmt w:val="decimal"/>
      <w:lvlText w:val=""/>
      <w:lvlJc w:val="left"/>
    </w:lvl>
    <w:lvl w:ilvl="4" w:tplc="5AE0C39E">
      <w:numFmt w:val="decimal"/>
      <w:lvlText w:val=""/>
      <w:lvlJc w:val="left"/>
    </w:lvl>
    <w:lvl w:ilvl="5" w:tplc="F6AE28D8">
      <w:numFmt w:val="decimal"/>
      <w:lvlText w:val=""/>
      <w:lvlJc w:val="left"/>
    </w:lvl>
    <w:lvl w:ilvl="6" w:tplc="4B24FBC4">
      <w:numFmt w:val="decimal"/>
      <w:lvlText w:val=""/>
      <w:lvlJc w:val="left"/>
    </w:lvl>
    <w:lvl w:ilvl="7" w:tplc="204C8F36">
      <w:numFmt w:val="decimal"/>
      <w:lvlText w:val=""/>
      <w:lvlJc w:val="left"/>
    </w:lvl>
    <w:lvl w:ilvl="8" w:tplc="8188C9D0">
      <w:numFmt w:val="decimal"/>
      <w:lvlText w:val=""/>
      <w:lvlJc w:val="left"/>
    </w:lvl>
  </w:abstractNum>
  <w:abstractNum w:abstractNumId="1" w15:restartNumberingAfterBreak="0">
    <w:nsid w:val="707B6AD4"/>
    <w:multiLevelType w:val="hybridMultilevel"/>
    <w:tmpl w:val="41723DB0"/>
    <w:lvl w:ilvl="0" w:tplc="1D92D4B6">
      <w:start w:val="1"/>
      <w:numFmt w:val="bullet"/>
      <w:lvlText w:val="●"/>
      <w:lvlJc w:val="left"/>
      <w:pPr>
        <w:ind w:left="720" w:hanging="360"/>
      </w:pPr>
    </w:lvl>
    <w:lvl w:ilvl="1" w:tplc="F432CDBE">
      <w:start w:val="1"/>
      <w:numFmt w:val="bullet"/>
      <w:lvlText w:val="○"/>
      <w:lvlJc w:val="left"/>
      <w:pPr>
        <w:ind w:left="1440" w:hanging="360"/>
      </w:pPr>
    </w:lvl>
    <w:lvl w:ilvl="2" w:tplc="7098E25A">
      <w:start w:val="1"/>
      <w:numFmt w:val="bullet"/>
      <w:lvlText w:val="■"/>
      <w:lvlJc w:val="left"/>
      <w:pPr>
        <w:ind w:left="2160" w:hanging="360"/>
      </w:pPr>
    </w:lvl>
    <w:lvl w:ilvl="3" w:tplc="20360522">
      <w:start w:val="1"/>
      <w:numFmt w:val="bullet"/>
      <w:lvlText w:val="●"/>
      <w:lvlJc w:val="left"/>
      <w:pPr>
        <w:ind w:left="2880" w:hanging="360"/>
      </w:pPr>
    </w:lvl>
    <w:lvl w:ilvl="4" w:tplc="3CF2640A">
      <w:start w:val="1"/>
      <w:numFmt w:val="bullet"/>
      <w:lvlText w:val="○"/>
      <w:lvlJc w:val="left"/>
      <w:pPr>
        <w:ind w:left="3600" w:hanging="360"/>
      </w:pPr>
    </w:lvl>
    <w:lvl w:ilvl="5" w:tplc="6444EDE6">
      <w:start w:val="1"/>
      <w:numFmt w:val="bullet"/>
      <w:lvlText w:val="■"/>
      <w:lvlJc w:val="left"/>
      <w:pPr>
        <w:ind w:left="4320" w:hanging="360"/>
      </w:pPr>
    </w:lvl>
    <w:lvl w:ilvl="6" w:tplc="56DA7E04">
      <w:start w:val="1"/>
      <w:numFmt w:val="bullet"/>
      <w:lvlText w:val="●"/>
      <w:lvlJc w:val="left"/>
      <w:pPr>
        <w:ind w:left="5040" w:hanging="360"/>
      </w:pPr>
    </w:lvl>
    <w:lvl w:ilvl="7" w:tplc="D1E8708A">
      <w:start w:val="1"/>
      <w:numFmt w:val="bullet"/>
      <w:lvlText w:val="●"/>
      <w:lvlJc w:val="left"/>
      <w:pPr>
        <w:ind w:left="5760" w:hanging="360"/>
      </w:pPr>
    </w:lvl>
    <w:lvl w:ilvl="8" w:tplc="FAEAB0F0">
      <w:start w:val="1"/>
      <w:numFmt w:val="bullet"/>
      <w:lvlText w:val="●"/>
      <w:lvlJc w:val="left"/>
      <w:pPr>
        <w:ind w:left="6480" w:hanging="360"/>
      </w:pPr>
    </w:lvl>
  </w:abstractNum>
  <w:abstractNum w:abstractNumId="2" w15:restartNumberingAfterBreak="0">
    <w:nsid w:val="74FC3CC1"/>
    <w:multiLevelType w:val="hybridMultilevel"/>
    <w:tmpl w:val="E514CCA4"/>
    <w:lvl w:ilvl="0" w:tplc="4E9AF62E">
      <w:start w:val="1"/>
      <w:numFmt w:val="decimal"/>
      <w:lvlText w:val="%1."/>
      <w:lvlJc w:val="left"/>
      <w:pPr>
        <w:ind w:left="720" w:hanging="360"/>
      </w:pPr>
    </w:lvl>
    <w:lvl w:ilvl="1" w:tplc="F056B8A2">
      <w:numFmt w:val="decimal"/>
      <w:lvlText w:val=""/>
      <w:lvlJc w:val="left"/>
    </w:lvl>
    <w:lvl w:ilvl="2" w:tplc="96B67378">
      <w:numFmt w:val="decimal"/>
      <w:lvlText w:val=""/>
      <w:lvlJc w:val="left"/>
    </w:lvl>
    <w:lvl w:ilvl="3" w:tplc="403E080C">
      <w:numFmt w:val="decimal"/>
      <w:lvlText w:val=""/>
      <w:lvlJc w:val="left"/>
    </w:lvl>
    <w:lvl w:ilvl="4" w:tplc="2AFC4DD8">
      <w:numFmt w:val="decimal"/>
      <w:lvlText w:val=""/>
      <w:lvlJc w:val="left"/>
    </w:lvl>
    <w:lvl w:ilvl="5" w:tplc="B0B8FA74">
      <w:numFmt w:val="decimal"/>
      <w:lvlText w:val=""/>
      <w:lvlJc w:val="left"/>
    </w:lvl>
    <w:lvl w:ilvl="6" w:tplc="FAF0734A">
      <w:numFmt w:val="decimal"/>
      <w:lvlText w:val=""/>
      <w:lvlJc w:val="left"/>
    </w:lvl>
    <w:lvl w:ilvl="7" w:tplc="41966172">
      <w:numFmt w:val="decimal"/>
      <w:lvlText w:val=""/>
      <w:lvlJc w:val="left"/>
    </w:lvl>
    <w:lvl w:ilvl="8" w:tplc="EAD44B88">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300"/>
    <w:rsid w:val="000C2EF9"/>
    <w:rsid w:val="001648B7"/>
    <w:rsid w:val="002B200B"/>
    <w:rsid w:val="00415EAB"/>
    <w:rsid w:val="00711441"/>
    <w:rsid w:val="00827300"/>
    <w:rsid w:val="008F3C5F"/>
    <w:rsid w:val="00B97503"/>
    <w:rsid w:val="00D420E6"/>
    <w:rsid w:val="00D5336D"/>
    <w:rsid w:val="00EF25C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1B5EA7-50DF-4E51-B021-6EE091EDB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EF9"/>
  </w:style>
  <w:style w:type="paragraph" w:styleId="Titre1">
    <w:name w:val="heading 1"/>
    <w:qFormat/>
    <w:pPr>
      <w:pBdr>
        <w:bottom w:val="single" w:sz="4" w:space="3" w:color="0F6E56"/>
      </w:pBdr>
      <w:spacing w:before="480" w:after="200"/>
      <w:outlineLvl w:val="0"/>
    </w:pPr>
    <w:rPr>
      <w:b/>
      <w:bCs/>
      <w:color w:val="0F6E56"/>
      <w:sz w:val="36"/>
      <w:szCs w:val="36"/>
    </w:rPr>
  </w:style>
  <w:style w:type="paragraph" w:styleId="Titre2">
    <w:name w:val="heading 2"/>
    <w:qFormat/>
    <w:pPr>
      <w:spacing w:before="320" w:after="160"/>
      <w:outlineLvl w:val="1"/>
    </w:pPr>
    <w:rPr>
      <w:b/>
      <w:bCs/>
      <w:color w:val="185FA5"/>
      <w:sz w:val="28"/>
      <w:szCs w:val="28"/>
    </w:rPr>
  </w:style>
  <w:style w:type="paragraph" w:styleId="Titre3">
    <w:name w:val="heading 3"/>
    <w:qFormat/>
    <w:pPr>
      <w:spacing w:before="200" w:after="100"/>
      <w:outlineLvl w:val="2"/>
    </w:pPr>
    <w:rPr>
      <w:b/>
      <w:bCs/>
      <w:color w:val="534AB7"/>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2328</TotalTime>
  <Pages>26</Pages>
  <Words>3407</Words>
  <Characters>18744</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4</cp:revision>
  <dcterms:created xsi:type="dcterms:W3CDTF">2026-05-13T17:47:00Z</dcterms:created>
  <dcterms:modified xsi:type="dcterms:W3CDTF">2026-05-15T08:45:00Z</dcterms:modified>
</cp:coreProperties>
</file>