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Limitations</w:t>
      </w:r>
    </w:p>
    <w:p>
      <w:pPr>
        <w:keepLines/>
      </w:pPr>
      <w:r>
        <w:t>First, the disease targets are modelled GBD estimates rather than independent Saudi case ascertainment. Related smoothing, covariates and source information may be shared across donor and target series, so low retrospective error can partly reflect the structure of the estimation system. National demographic and insurance data add information about denominators and population composition, but do not provide new PD diagnoses or external disease validation. The original 34 annual observations per stratum remain the temporal information base.</w:t>
      </w:r>
    </w:p>
    <w:p>
      <w:pPr>
        <w:keepLines/>
      </w:pPr>
      <w:r>
        <w:t>Second, historical verification used the current release’s estimates of past outcomes rather than data vintages available in real time. Final-year descriptive information had been examined before the local protocol lock, and the later calibration, mixture, national integration and decomposition analyses followed inspection of earlier results. Chronological fitting and frozen ledgers reduce direct future-label leakage but do not create an untouched prospective test. The five rolling origins overlap, as do age and outcome structures; neural seeds provide computational repetition rather than independent biological replication. The post-primary analyses should consequently be interpreted as exploratory.</w:t>
      </w:r>
    </w:p>
    <w:p>
      <w:pPr>
        <w:keepLines/>
      </w:pPr>
      <w:r>
        <w:t>Third, predictive-interval coverage was frequently below its nominal level, including several oldest-age and disability-related targets. Residual banks contained only 7–11 completed and overlapping origins in historical reliability evaluations, and even the forward projections had only 16 original rate-residual blocks. Marginal GBD bounds and demographic quantiles do not supply coherent joint trajectories of source and population uncertainty. The reported predictive intervals therefore do not represent total uncertainty in underlying PD burden. Scenario differences and the percentage-change decomposition are also not confidence or prediction intervals. Neither widening intervals nor improving a summary score establishes clinically adequate reliability.</w:t>
      </w:r>
    </w:p>
    <w:p>
      <w:pPr>
        <w:keepLines/>
      </w:pPr>
      <w:r>
        <w:t>Fourth, population sources differ in their reference dates, residency definitions and estimation procedures, and GBD denominators were inferred from rate/number pairs. Their comparability is not fully resolved. National tables aggregate ages ≥80, requiring assumptions about the within-group distribution. Migration may influence population projections, but its contribution to the observed source differences was not identified (Azose et al., 2016). The national-2024 scenario backcasts its 2023 baseline and was constructed after the disease cutoff. The projections are conditional analyses generated in 2026, not forecasts issued in 2023.</w:t>
      </w:r>
    </w:p>
    <w:p>
      <w:pPr>
        <w:keepLines/>
      </w:pPr>
      <w:r>
        <w:t>Fifth, the ≥45-year scope omits younger-onset PD, and source-value verification for the standardised-rate workbook covers seven locations rather than the complete global donor panel. Bayesian age–period–cohort models were not included among our fitted comparators, so the observed ranking cannot be generalised to every established forecasting approach. Published national projections include Saudi Arabia, but the inspected articles and supplementary tables did not supply a verified Saudi 2024–2028 numerical comparator matched to our age scope and sex-specific estimands. Longer-horizon values were therefore not interpolated into a same-window comparison. A failed GPU standardised-rate experiment produced persistence fallbacks; only the successful CPU recovery supports neural inference in that benchmark. Matched device-specific donor and fixed-default history experiments were kept distinct from the tuned primary procedure.</w:t>
      </w:r>
    </w:p>
    <w:p>
      <w:pPr>
        <w:keepLines/>
      </w:pPr>
      <w:r>
        <w:t>Finally, these aggregate analyses do not identify individual disease progression, disability severity, treatment response or survival. YLDs are population health-loss estimates rather than direct measurements of activities of daily living or caregiver requirements. Female negative transfer does not establish a distinct Saudi neurobiological mechanism, and the decomposition is arithmetic rather than causal. Nationality-specific PD risk, province-level service need and validated staffing demand cannot be inferred. CHI snapshots lack the population and case-ascertainment equivalence needed for unqualified national extrapolation. Independent surveillance, compatible demographic denominators and genuinely prospective verification are needed before operational care allocation based on these forecasts.</w:t>
      </w:r>
    </w:p>
    <w:p>
      <w:pPr>
        <w:pStyle w:val="Heading1"/>
      </w:pPr>
      <w:r>
        <w:t>References</w:t>
      </w:r>
    </w:p>
    <w:p>
      <w:pPr>
        <w:ind w:left="432" w:hanging="432"/>
      </w:pPr>
      <w:r>
        <w:t xml:space="preserve">Azose, J. J., Ševčíková, H., &amp; Raftery, A. E. (2016). Probabilistic population projections with migration uncertainty. </w:t>
      </w:r>
      <w:r>
        <w:rPr>
          <w:i/>
        </w:rPr>
        <w:t>Proceedings of the National Academy of Sciences, 113</w:t>
      </w:r>
      <w:r>
        <w:t>(23), 6460–6465. https://doi.org/10.1073/pnas.1606119113</w:t>
      </w:r>
    </w:p>
    <w:sectPr w:rsidR="00FC693F" w:rsidRPr="0006063C" w:rsidSect="00034616">
      <w:headerReference w:type="default" r:id="rId9"/>
      <w:footerReference w:type="default" r:id="rId10"/>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pPr>
    <w:r>
      <w:rPr>
        <w:sz w:val="18"/>
      </w:rPr>
      <w:t>Parkinson’s forecasting and disability care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pPr>
    <w:rPr>
      <w:rFonts w:ascii="Times New Roman" w:hAnsi="Times New Roman"/>
      <w:sz w:val="23"/>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ArticleType">
    <w:name w:val="Article Type"/>
    <w:basedOn w:val="Normal"/>
    <w:rsid w:val="00513238"/>
    <w:pPr>
      <w:keepNext/>
      <w:spacing w:after="140" w:line="300" w:lineRule="exact"/>
    </w:pPr>
    <w:rPr>
      <w:rFonts w:ascii="Arial" w:eastAsia="Arial" w:hAnsi="Arial" w:cs="Arial"/>
      <w:b/>
      <w:color w:val="000000"/>
      <w:sz w:val="18"/>
    </w:rPr>
  </w:style>
  <w:style w:type="paragraph" w:customStyle="1" w:styleId="AuthorLine">
    <w:name w:val="Author Line"/>
    <w:basedOn w:val="Normal"/>
    <w:rsid w:val="00513238"/>
    <w:pPr>
      <w:keepNext/>
      <w:spacing w:after="80" w:line="300" w:lineRule="exact"/>
    </w:pPr>
    <w:rPr>
      <w:rFonts w:ascii="Arial" w:eastAsia="Arial" w:hAnsi="Arial" w:cs="Arial"/>
      <w:color w:val="000000"/>
      <w:sz w:val="22"/>
    </w:rPr>
  </w:style>
  <w:style w:type="paragraph" w:customStyle="1" w:styleId="Affiliation">
    <w:name w:val="Affiliation"/>
    <w:basedOn w:val="Normal"/>
    <w:rsid w:val="00513238"/>
    <w:pPr>
      <w:spacing w:after="20" w:line="240" w:lineRule="exact"/>
    </w:pPr>
    <w:rPr>
      <w:rFonts w:ascii="Arial" w:eastAsia="Arial" w:hAnsi="Arial" w:cs="Arial"/>
      <w:color w:val="000000"/>
      <w:sz w:val="18"/>
    </w:rPr>
  </w:style>
  <w:style w:type="paragraph" w:customStyle="1" w:styleId="CorrespondingAuthor">
    <w:name w:val="Corresponding Author"/>
    <w:basedOn w:val="Normal"/>
    <w:rsid w:val="00513238"/>
    <w:pPr>
      <w:spacing w:before="80" w:after="140" w:line="300" w:lineRule="exact"/>
    </w:pPr>
    <w:rPr>
      <w:rFonts w:ascii="Arial" w:eastAsia="Arial" w:hAnsi="Arial" w:cs="Arial"/>
      <w:color w:val="000000"/>
      <w:sz w:val="18"/>
    </w:rPr>
  </w:style>
  <w:style w:type="paragraph" w:customStyle="1" w:styleId="Keywords">
    <w:name w:val="Keywords"/>
    <w:basedOn w:val="Normal"/>
    <w:rsid w:val="0062599D"/>
    <w:pPr>
      <w:spacing w:before="80" w:after="100" w:line="240" w:lineRule="exact"/>
    </w:pPr>
    <w:rPr>
      <w:rFonts w:ascii="Arial" w:eastAsia="Arial" w:hAnsi="Arial" w:cs="Arial"/>
      <w:color w:val="000000"/>
      <w:sz w:val="18"/>
    </w:rPr>
  </w:style>
  <w:style w:type="paragraph" w:customStyle="1" w:styleId="FrontMatter">
    <w:name w:val="Front Matter"/>
    <w:basedOn w:val="Normal"/>
    <w:rsid w:val="0062599D"/>
    <w:pPr>
      <w:spacing w:after="80" w:line="240" w:lineRule="exact"/>
    </w:pPr>
    <w:rPr>
      <w:rFonts w:ascii="Arial" w:eastAsia="Arial" w:hAnsi="Arial" w:cs="Arial"/>
      <w:color w:val="000000"/>
      <w:sz w:val="18"/>
    </w:rPr>
  </w:style>
  <w:style w:type="table" w:styleId="PlainTable2">
    <w:name w:val="Plain Table 2"/>
    <w:basedOn w:val="TableNormal"/>
    <w:uiPriority w:val="99"/>
    <w:rsid w:val="00550BA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Anticipating Parkinson’s Disease Burden for Disability Care in Saudi Arabia: Sex-Specific Forecasting and Gulf Benchmarking</dc:title>
  <dc:subject/>
  <dc:creator/>
  <cp:keywords/>
  <dc:description/>
  <cp:lastModifiedBy/>
  <cp:revision>1</cp:revision>
  <dcterms:created xsi:type="dcterms:W3CDTF">2013-12-23T23:15:00Z</dcterms:created>
  <dcterms:modified xsi:type="dcterms:W3CDTF">2013-12-23T23:15:00Z</dcterms:modified>
  <cp:category/>
</cp:coreProperties>
</file>