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Reporting rigor and resource checklist</w:t>
      </w:r>
    </w:p>
    <w:p>
      <w:r>
        <w:t>Prepared against the supplied example SciScore report and the public Core/MDAR descriptions. This document maps actual study procedures to reporting items. It is not an automated SciScore assessment and assigns no score.</w:t>
      </w:r>
    </w:p>
    <w:p>
      <w:pPr>
        <w:pStyle w:val="Heading2"/>
      </w:pPr>
      <w:r>
        <w:t>Study design</w:t>
      </w:r>
    </w:p>
    <w:p>
      <w:r>
        <w:t>Applicable. Population-level retrospective forecasting and conditional projection. Methods: Design, setting and units of analysis.</w:t>
      </w:r>
    </w:p>
    <w:p>
      <w:pPr>
        <w:pStyle w:val="Heading2"/>
      </w:pPr>
      <w:r>
        <w:t>Inclusion and exclusion</w:t>
      </w:r>
    </w:p>
    <w:p>
      <w:r>
        <w:t>Applicable. Seven countries, two source sex categories, eleven ages ≥45; complete common-period grids; younger ages outside scope. Methods: Data sources, eligibility and integrity.</w:t>
      </w:r>
    </w:p>
    <w:p>
      <w:pPr>
        <w:pStyle w:val="Heading2"/>
      </w:pPr>
      <w:r>
        <w:t>Demographics / sex</w:t>
      </w:r>
    </w:p>
    <w:p>
      <w:r>
        <w:t>Applicable. Sex-separated and age-specific reporting; citizens and non-citizens in resident totals. Methods: Design; Table 1.</w:t>
      </w:r>
    </w:p>
    <w:p>
      <w:pPr>
        <w:pStyle w:val="Heading2"/>
      </w:pPr>
      <w:r>
        <w:t>Sample size / power</w:t>
      </w:r>
    </w:p>
    <w:p>
      <w:r>
        <w:t>Applicable. All available eligible annual cells; 34 years per common stratum; no hypothesis-test power calculation. Methods: Sample-size determination.</w:t>
      </w:r>
    </w:p>
    <w:p>
      <w:pPr>
        <w:pStyle w:val="Heading2"/>
      </w:pPr>
      <w:r>
        <w:t>Randomisation</w:t>
      </w:r>
    </w:p>
    <w:p>
      <w:r>
        <w:t>No participant allocation. Calendar-time partitions; fixed computational and random-donor seeds. Methods: Sample-size determination; Donor choice.</w:t>
      </w:r>
    </w:p>
    <w:p>
      <w:pPr>
        <w:pStyle w:val="Heading2"/>
      </w:pPr>
      <w:r>
        <w:t>Blinding</w:t>
      </w:r>
    </w:p>
    <w:p>
      <w:r>
        <w:t>Analysts used labelled data. Bias-control procedures stated; prior outcome inspection disclosed in Limitations. Methods: Sample-size determination; Discussion: Limitations.</w:t>
      </w:r>
    </w:p>
    <w:p>
      <w:pPr>
        <w:pStyle w:val="Heading2"/>
      </w:pPr>
      <w:r>
        <w:t>Replication</w:t>
      </w:r>
    </w:p>
    <w:p>
      <w:r>
        <w:t>Computational and temporal. Five seeds, five overlapping origins and six target-country applications separately defined. Methods: Sample-size determination.</w:t>
      </w:r>
    </w:p>
    <w:p>
      <w:pPr>
        <w:pStyle w:val="Heading2"/>
      </w:pPr>
      <w:r>
        <w:t>Attrition / failed fits</w:t>
      </w:r>
    </w:p>
    <w:p>
      <w:r>
        <w:t>Applicable. Status-ledger persistence fallback retains rows; CPU-recovered global benchmark identified. Methods: Computational attrition; Supplementary Tables S1–S4.</w:t>
      </w:r>
    </w:p>
    <w:p>
      <w:pPr>
        <w:pStyle w:val="Heading2"/>
      </w:pPr>
      <w:r>
        <w:t>Ethics / consent</w:t>
      </w:r>
    </w:p>
    <w:p>
      <w:r>
        <w:t>Aggregate secondary data. No recruitment, intervention, specimens or identifiable records; no fabricated approval identifier. Methods: Ethics; separate title page.</w:t>
      </w:r>
    </w:p>
    <w:p>
      <w:pPr>
        <w:pStyle w:val="Heading2"/>
      </w:pPr>
      <w:r>
        <w:t>Antibodies / cell lines / organisms</w:t>
      </w:r>
    </w:p>
    <w:p>
      <w:r>
        <w:t>Not applicable. No wet-laboratory or experimental-animal resources. Methods: Ethics.</w:t>
      </w:r>
    </w:p>
    <w:p>
      <w:pPr>
        <w:pStyle w:val="Heading2"/>
      </w:pPr>
      <w:r>
        <w:t>Protocol</w:t>
      </w:r>
    </w:p>
    <w:p>
      <w:r>
        <w:t>Applicable. Local lock 29 September 2026; amendments and later exploratory work identified. Methods: Bias control; Supplementary Material S1.</w:t>
      </w:r>
    </w:p>
    <w:p>
      <w:pPr>
        <w:pStyle w:val="Heading2"/>
      </w:pPr>
      <w:r>
        <w:t>Training/test separation</w:t>
      </w:r>
    </w:p>
    <w:p>
      <w:r>
        <w:t>Applicable. Complete five-year labels before origin; fit-only scaling; target excluded from donors. Methods: Chronological development; TCN.</w:t>
      </w:r>
    </w:p>
    <w:p>
      <w:pPr>
        <w:pStyle w:val="Heading2"/>
      </w:pPr>
      <w:r>
        <w:t>Algorithms / hyperparameters</w:t>
      </w:r>
    </w:p>
    <w:p>
      <w:r>
        <w:t>Applicable. Architecture, loss, optimiser, grid, seeds and two-parameter adaptation reported. Methods: Comparators; TCN; Supplementary Table S1.</w:t>
      </w:r>
    </w:p>
    <w:p>
      <w:pPr>
        <w:pStyle w:val="Heading2"/>
      </w:pPr>
      <w:r>
        <w:t>Statistics</w:t>
      </w:r>
    </w:p>
    <w:p>
      <w:r>
        <w:t>Applicable. Loss, relative improvement, interval score and WIS defined; dependence-aware descriptive comparisons. Methods: Accuracy and predictive intervals.</w:t>
      </w:r>
    </w:p>
    <w:p>
      <w:pPr>
        <w:pStyle w:val="Heading2"/>
      </w:pPr>
      <w:r>
        <w:t>Data identifiers</w:t>
      </w:r>
    </w:p>
    <w:p>
      <w:r>
        <w:t>Applicable. Provider URLs, hierarchy DOI and dataset citation crosswalk. References; Supplementary Material S1.</w:t>
      </w:r>
    </w:p>
    <w:p>
      <w:pPr>
        <w:pStyle w:val="Heading2"/>
      </w:pPr>
      <w:r>
        <w:t>Code availability</w:t>
      </w:r>
    </w:p>
    <w:p>
      <w:r>
        <w:t>Applicable. Public core snapshot plus supplementary later reporting scripts; blinded manuscript withholds identifying link. Methods: Resources; title page; Supplementary Software S1.</w:t>
      </w:r>
    </w:p>
    <w:p>
      <w:pPr>
        <w:pStyle w:val="Heading2"/>
      </w:pPr>
      <w:r>
        <w:t>Resources / RRIDs</w:t>
      </w:r>
    </w:p>
    <w:p>
      <w:r>
        <w:t>Applicable. Python SCR_008394; PyTorch SCR_018536; NumPy SCR_008633; SciPy SCR_008058; scikit-learn SCR_002577; Matplotlib SCR_008624. Methods: Resources.</w:t>
      </w:r>
    </w:p>
    <w:p>
      <w:pPr>
        <w:pStyle w:val="Heading2"/>
      </w:pPr>
      <w:r>
        <w:t>GATHER</w:t>
      </w:r>
    </w:p>
    <w:p>
      <w:r>
        <w:t>Applicable items mapped. Sources, definitions, processing, models, evaluation and uncertainty documented. Methods; Limitations; source crosswalk.</w:t>
      </w:r>
    </w:p>
    <w:p>
      <w:pPr>
        <w:pStyle w:val="Heading2"/>
      </w:pPr>
      <w:r>
        <w:t>TRIPOD+AI</w:t>
      </w:r>
    </w:p>
    <w:p>
      <w:r>
        <w:t>Applicable transparency items. Used as a reporting aid for population forecasting; not labelled a clinical individual-risk validation. Methods; Limitations.</w:t>
      </w:r>
    </w:p>
    <w:p>
      <w:pPr>
        <w:pStyle w:val="Heading2"/>
      </w:pPr>
      <w:r>
        <w:t>New decomposition</w:t>
      </w:r>
    </w:p>
    <w:p>
      <w:r>
        <w:t>Exploratory. Six-order average; arithmetic identity; independent closed form and synthetic boundary checks. Methods; Figure 8; Supplementary Table S12.</w:t>
      </w:r>
    </w:p>
    <w:p>
      <w:pPr>
        <w:pStyle w:val="Heading2"/>
      </w:pPr>
      <w:r>
        <w:t>Figure accessibility</w:t>
      </w:r>
    </w:p>
    <w:p>
      <w:r>
        <w:t>Applicable. Eight figures with embedded alternative text; distinguishable markers and vector masters. Main figures; Figure_Captions.docx.</w:t>
      </w:r>
    </w:p>
    <w:p>
      <w:pPr>
        <w:pStyle w:val="Heading2"/>
      </w:pPr>
      <w:r>
        <w:t>Actual SciScore assessment</w:t>
      </w:r>
    </w:p>
    <w:p>
      <w:r>
        <w:t>Not run. This is an author reporting crosswalk, not a new SciScore score or endorsement. Submission notes.</w:t>
      </w:r>
    </w:p>
    <w:p>
      <w:r>
        <w:t>Source guidance: https://sciscore.com/reports/Core-Report.php ; supplied Example_SciscoreReport.pdf. Reporting-guideline and core-software references are retained below for this supplementary crosswalk.</w:t>
      </w:r>
    </w:p>
    <w:p>
      <w:r>
        <w:t>Stevens, G. A., Alkema, L., Black, R. E., Boerma, J. T., Collins, G. S., Ezzati, M., Grove, J. T., Hogan, D. R., Hogan, M. C., Horton, R., Lawn, J. E., Marušić, A., Mathers, C. D., Murray, C. J. L., Rudan, I., Salomon, J. A., Simpson, P. J., Vos, T., Welch, V., &amp; The GATHER Working Group. (2016). Guidelines for accurate and transparent health estimates reporting: The GATHER statement. PLOS Medicine, 13(6), e1002056. https://doi.org/10.1371/journal.pmed.1002056</w:t>
      </w:r>
    </w:p>
    <w:p>
      <w:r>
        <w:t>Collins, G. S., Moons, K. G. M., Dhiman, P., Riley, R. D., Beam, A. L., Van Calster, B., Ghassemi, M., Liu, X., Reitsma, J. B., van Smeden, M., Boulesteix, A.,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r>
        <w:t>saifkhanbio. (2026). Parkinson-TCN-forecast (Source snapshot b333073e0305f6480e40a15167288c76a7a4e6fc) [Computer software]. GitHub. https://github.com/saifkhanbio/Parkinson-TCN-forecast/tree/b333073e0305f6480e40a15167288c76a7a4e6fc</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pPr>
    <w:r>
      <w:rPr>
        <w:sz w:val="18"/>
      </w:rPr>
      <w:t>Parkinson’s forecasting and disability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rticleType">
    <w:name w:val="Article Type"/>
    <w:basedOn w:val="Normal"/>
    <w:rsid w:val="00513238"/>
    <w:pPr>
      <w:keepNext/>
      <w:spacing w:after="140" w:line="300" w:lineRule="exact"/>
    </w:pPr>
    <w:rPr>
      <w:rFonts w:ascii="Arial" w:eastAsia="Arial" w:hAnsi="Arial" w:cs="Arial"/>
      <w:b/>
      <w:color w:val="000000"/>
      <w:sz w:val="18"/>
    </w:rPr>
  </w:style>
  <w:style w:type="paragraph" w:customStyle="1" w:styleId="AuthorLine">
    <w:name w:val="Author Line"/>
    <w:basedOn w:val="Normal"/>
    <w:rsid w:val="00513238"/>
    <w:pPr>
      <w:keepNext/>
      <w:spacing w:after="80" w:line="300" w:lineRule="exact"/>
    </w:pPr>
    <w:rPr>
      <w:rFonts w:ascii="Arial" w:eastAsia="Arial" w:hAnsi="Arial" w:cs="Arial"/>
      <w:color w:val="000000"/>
      <w:sz w:val="22"/>
    </w:rPr>
  </w:style>
  <w:style w:type="paragraph" w:customStyle="1" w:styleId="Affiliation">
    <w:name w:val="Affiliation"/>
    <w:basedOn w:val="Normal"/>
    <w:rsid w:val="00513238"/>
    <w:pPr>
      <w:spacing w:after="20" w:line="240" w:lineRule="exact"/>
    </w:pPr>
    <w:rPr>
      <w:rFonts w:ascii="Arial" w:eastAsia="Arial" w:hAnsi="Arial" w:cs="Arial"/>
      <w:color w:val="000000"/>
      <w:sz w:val="18"/>
    </w:rPr>
  </w:style>
  <w:style w:type="paragraph" w:customStyle="1" w:styleId="CorrespondingAuthor">
    <w:name w:val="Corresponding Author"/>
    <w:basedOn w:val="Normal"/>
    <w:rsid w:val="00513238"/>
    <w:pPr>
      <w:spacing w:before="80" w:after="140" w:line="300" w:lineRule="exact"/>
    </w:pPr>
    <w:rPr>
      <w:rFonts w:ascii="Arial" w:eastAsia="Arial" w:hAnsi="Arial" w:cs="Arial"/>
      <w:color w:val="000000"/>
      <w:sz w:val="18"/>
    </w:rPr>
  </w:style>
  <w:style w:type="paragraph" w:customStyle="1" w:styleId="Keywords">
    <w:name w:val="Keywords"/>
    <w:basedOn w:val="Normal"/>
    <w:rsid w:val="0062599D"/>
    <w:pPr>
      <w:spacing w:before="80" w:after="100" w:line="240" w:lineRule="exact"/>
    </w:pPr>
    <w:rPr>
      <w:rFonts w:ascii="Arial" w:eastAsia="Arial" w:hAnsi="Arial" w:cs="Arial"/>
      <w:color w:val="000000"/>
      <w:sz w:val="18"/>
    </w:rPr>
  </w:style>
  <w:style w:type="paragraph" w:customStyle="1" w:styleId="FrontMatter">
    <w:name w:val="Front Matter"/>
    <w:basedOn w:val="Normal"/>
    <w:rsid w:val="0062599D"/>
    <w:pPr>
      <w:spacing w:after="80" w:line="240" w:lineRule="exact"/>
    </w:pPr>
    <w:rPr>
      <w:rFonts w:ascii="Arial" w:eastAsia="Arial" w:hAnsi="Arial" w:cs="Arial"/>
      <w:color w:val="000000"/>
      <w:sz w:val="18"/>
    </w:rPr>
  </w:style>
  <w:style w:type="table" w:styleId="PlainTable2">
    <w:name w:val="Plain Table 2"/>
    <w:basedOn w:val="TableNormal"/>
    <w:uiPriority w:val="99"/>
    <w:rsid w:val="00550B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Anticipating Parkinson’s Disease Burden for Disability Care in Saudi Arabia: Sex-Specific Forecasting and Gulf Benchmarking</dc:title>
  <dc:subject/>
  <dc:creator>Saif Khan; Mahvish Khan; Mohtashim Lohani</dc:creator>
  <cp:keywords/>
  <dc:description/>
  <cp:lastModifiedBy/>
  <cp:revision>1</cp:revision>
  <dcterms:created xsi:type="dcterms:W3CDTF">2013-12-23T23:15:00Z</dcterms:created>
  <dcterms:modified xsi:type="dcterms:W3CDTF">2013-12-23T23:15:00Z</dcterms:modified>
  <cp:category/>
</cp:coreProperties>
</file>