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color w:val="1a1a1a"/>
          <w:sz w:val="44"/>
          <w:szCs w:val="44"/>
        </w:rPr>
        <w:t xml:space="preserve">The Daily Reflection Tree</w:t>
      </w:r>
    </w:p>
    <w:p>
      <w:pPr>
        <w:spacing w:after="60"/>
      </w:pPr>
      <w:r>
        <w:rPr>
          <w:rFonts w:ascii="Georgia" w:cs="Georgia" w:eastAsia="Georgia" w:hAnsi="Georgia"/>
          <w:color w:val="666666"/>
          <w:sz w:val="24"/>
          <w:szCs w:val="24"/>
        </w:rPr>
        <w:t xml:space="preserve">Design rationale and question methodology</w:t>
      </w:r>
    </w:p>
    <w:p>
      <w:pPr>
        <w:pBdr>
          <w:bottom w:val="single" w:color="C9A96E" w:sz="6" w:space="1"/>
        </w:pBdr>
        <w:spacing w:after="400"/>
      </w:pPr>
      <w:r>
        <w:rPr>
          <w:rFonts w:ascii="Georgia" w:cs="Georgia" w:eastAsia="Georgia" w:hAnsi="Georgia"/>
          <w:color w:val="999999"/>
          <w:sz w:val="20"/>
          <w:szCs w:val="20"/>
        </w:rPr>
        <w:t xml:space="preserve">DT Fellowship Submission · 2025</w:t>
      </w:r>
    </w:p>
    <w:p>
      <w:pPr>
        <w:pStyle w:val="Heading1"/>
        <w:spacing w:after="120" w:before="360"/>
      </w:pPr>
      <w:r>
        <w:rPr>
          <w:rFonts w:ascii="Georgia" w:cs="Georgia" w:eastAsia="Georgia" w:hAnsi="Georgia"/>
          <w:b/>
          <w:bCs/>
          <w:color w:val="1a1a1a"/>
          <w:sz w:val="32"/>
          <w:szCs w:val="32"/>
        </w:rPr>
        <w:t xml:space="preserve">1. Why these questions</w:t>
      </w:r>
    </w:p>
    <w:p>
      <w:pPr>
        <w:spacing w:after="200"/>
      </w:pPr>
      <w:r>
        <w:rPr>
          <w:rFonts w:ascii="Georgia" w:cs="Georgia" w:eastAsia="Georgia" w:hAnsi="Georgia"/>
          <w:color w:val="1a1a1a"/>
          <w:sz w:val="24"/>
          <w:szCs w:val="24"/>
        </w:rPr>
        <w:t xml:space="preserve">The hardest problem in designing a reflection tool is not writing the questions — it is writing options that people will answer honestly rather than aspirationally. When someone is tired at the end of a workday, they default to the self-image they want to protect. The design challenge is to make honesty feel safe, not threatening.</w:t>
      </w:r>
    </w:p>
    <w:p>
      <w:pPr>
        <w:spacing w:after="200"/>
      </w:pPr>
      <w:r>
        <w:rPr>
          <w:rFonts w:ascii="Georgia" w:cs="Georgia" w:eastAsia="Georgia" w:hAnsi="Georgia"/>
          <w:color w:val="1a1a1a"/>
          <w:sz w:val="24"/>
          <w:szCs w:val="24"/>
        </w:rPr>
        <w:t xml:space="preserve">Three principles shaped every question in this tree:</w:t>
      </w:r>
    </w:p>
    <w:p>
      <w:pPr>
        <w:pStyle w:val="ListParagraph"/>
        <w:numPr>
          <w:ilvl w:val="0"/>
          <w:numId w:val="2"/>
        </w:numPr>
        <w:spacing w:after="80"/>
      </w:pPr>
      <w:r>
        <w:rPr>
          <w:rFonts w:ascii="Georgia" w:cs="Georgia" w:eastAsia="Georgia" w:hAnsi="Georgia"/>
          <w:color w:val="1a1a1a"/>
          <w:sz w:val="24"/>
          <w:szCs w:val="24"/>
        </w:rPr>
        <w:t xml:space="preserve">Frame options descriptively, not evaluatively. None of the options in this tree contain the words 'good', 'bad', 'wrong', or 'should'. An option like 'I waited to see if it would resolve itself' describes a behaviour without labelling it. The employee can choose it without feeling judged, which means the signal it generates is more likely to be accurate.</w:t>
      </w:r>
    </w:p>
    <w:p>
      <w:pPr>
        <w:pStyle w:val="ListParagraph"/>
        <w:numPr>
          <w:ilvl w:val="0"/>
          <w:numId w:val="2"/>
        </w:numPr>
        <w:spacing w:after="80"/>
      </w:pPr>
      <w:r>
        <w:rPr>
          <w:rFonts w:ascii="Georgia" w:cs="Georgia" w:eastAsia="Georgia" w:hAnsi="Georgia"/>
          <w:color w:val="1a1a1a"/>
          <w:sz w:val="24"/>
          <w:szCs w:val="24"/>
        </w:rPr>
        <w:t xml:space="preserve">Make both poles plausible. In Axis 2, 'I felt like my effort went unnoticed or unrewarded' sits alongside 'I helped someone with something not in my job description'. Both are recognisable, common, and non-shameful. If the 'entitlement' options sounded like confessions, no one would choose them — and the tree would produce false data about contribution orientation.</w:t>
      </w:r>
    </w:p>
    <w:p>
      <w:pPr>
        <w:pStyle w:val="ListParagraph"/>
        <w:numPr>
          <w:ilvl w:val="0"/>
          <w:numId w:val="2"/>
        </w:numPr>
        <w:spacing w:after="80"/>
      </w:pPr>
      <w:r>
        <w:rPr>
          <w:rFonts w:ascii="Georgia" w:cs="Georgia" w:eastAsia="Georgia" w:hAnsi="Georgia"/>
          <w:color w:val="1a1a1a"/>
          <w:sz w:val="24"/>
          <w:szCs w:val="24"/>
        </w:rPr>
        <w:t xml:space="preserve">Use the opening question to earn emotional permission. The first question — 'If today were a single word' — is deliberately low-stakes and non-diagnostic. It does not try to measure anything. It invites the person into reflection mode before the deeper questions begin. This is the conversational equivalent of small talk before a difficult meeting.</w:t>
      </w:r>
    </w:p>
    <w:p>
      <w:pPr>
        <w:spacing w:after="160"/>
      </w:pPr>
    </w:p>
    <w:p>
      <w:pPr>
        <w:pStyle w:val="Heading2"/>
        <w:spacing w:after="80" w:before="280"/>
      </w:pPr>
      <w:r>
        <w:rPr>
          <w:rFonts w:ascii="Georgia" w:cs="Georgia" w:eastAsia="Georgia" w:hAnsi="Georgia"/>
          <w:b/>
          <w:bCs/>
          <w:color w:val="2a2a2a"/>
          <w:sz w:val="26"/>
          <w:szCs w:val="26"/>
        </w:rPr>
        <w:t xml:space="preserve">Axis 1: Locus of control</w:t>
      </w:r>
    </w:p>
    <w:p>
      <w:pPr>
        <w:spacing w:after="200"/>
      </w:pPr>
      <w:r>
        <w:rPr>
          <w:rFonts w:ascii="Georgia" w:cs="Georgia" w:eastAsia="Georgia" w:hAnsi="Georgia"/>
          <w:color w:val="1a1a1a"/>
          <w:sz w:val="24"/>
          <w:szCs w:val="24"/>
        </w:rPr>
        <w:t xml:space="preserve">Julian Rotter's original Locus of Control scale (1954) measured a trait — a person's stable, general belief about whether they control their outcomes. We are not measuring a trait. We are surfacing a posture the person took today, which is a much narrower and more honest question.</w:t>
      </w:r>
    </w:p>
    <w:p>
      <w:pPr>
        <w:spacing w:after="200"/>
      </w:pPr>
      <w:r>
        <w:rPr>
          <w:rFonts w:ascii="Georgia" w:cs="Georgia" w:eastAsia="Georgia" w:hAnsi="Georgia"/>
          <w:color w:val="1a1a1a"/>
          <w:sz w:val="24"/>
          <w:szCs w:val="24"/>
        </w:rPr>
        <w:t xml:space="preserve">The branching at D1 matters here. Someone who describes their day as 'Productive' and someone who describes it as 'Frustrating' are not equally likely to have exercised agency — the frustrating day actively pulls attention toward external attribution. By routing them to different second questions, the tree meets each person where they are emotionally, rather than asking both the same thing and getting socially acceptable answers.</w:t>
      </w:r>
    </w:p>
    <w:p>
      <w:pPr>
        <w:pBdr>
          <w:left w:val="single" w:color="C9A96E" w:sz="12" w:space="20"/>
        </w:pBdr>
        <w:spacing w:after="120" w:before="120"/>
        <w:ind w:left="720"/>
      </w:pPr>
      <w:r>
        <w:rPr>
          <w:rFonts w:ascii="Georgia" w:cs="Georgia" w:eastAsia="Georgia" w:hAnsi="Georgia"/>
          <w:color w:val="444444"/>
          <w:sz w:val="22"/>
          <w:szCs w:val="22"/>
        </w:rPr>
        <w:t xml:space="preserve">The follow-up question — 'Did you notice the choice in the moment?' — is the sharpest in the tree. It separates reactive competence from conscious agency. Someone can handle a hard situation well through muscle memory. That is skill. Noticing the choice is something different — it is the foundation of deliberate growth.</w:t>
      </w:r>
    </w:p>
    <w:p>
      <w:pPr>
        <w:spacing w:after="160"/>
      </w:pPr>
    </w:p>
    <w:p>
      <w:pPr>
        <w:pStyle w:val="Heading2"/>
        <w:spacing w:after="80" w:before="280"/>
      </w:pPr>
      <w:r>
        <w:rPr>
          <w:rFonts w:ascii="Georgia" w:cs="Georgia" w:eastAsia="Georgia" w:hAnsi="Georgia"/>
          <w:b/>
          <w:bCs/>
          <w:color w:val="2a2a2a"/>
          <w:sz w:val="26"/>
          <w:szCs w:val="26"/>
        </w:rPr>
        <w:t xml:space="preserve">Axis 2: Contribution vs entitlement</w:t>
      </w:r>
    </w:p>
    <w:p>
      <w:pPr>
        <w:spacing w:after="200"/>
      </w:pPr>
      <w:r>
        <w:rPr>
          <w:rFonts w:ascii="Georgia" w:cs="Georgia" w:eastAsia="Georgia" w:hAnsi="Georgia"/>
          <w:color w:val="1a1a1a"/>
          <w:sz w:val="24"/>
          <w:szCs w:val="24"/>
        </w:rPr>
        <w:t xml:space="preserve">Psychological entitlement (Campbell et al., 2004) is particularly difficult to surface through direct questioning because it is ego-syntonic — it feels justified from the inside. Asking 'Do you feel entitled?' would be useless. The questions in Axis 2 approach it obliquely.</w:t>
      </w:r>
    </w:p>
    <w:p>
      <w:pPr>
        <w:spacing w:after="200"/>
      </w:pPr>
      <w:r>
        <w:rPr>
          <w:rFonts w:ascii="Georgia" w:cs="Georgia" w:eastAsia="Georgia" w:hAnsi="Georgia"/>
          <w:color w:val="1a1a1a"/>
          <w:sz w:val="24"/>
          <w:szCs w:val="24"/>
        </w:rPr>
        <w:t xml:space="preserve">The opening question in Axis 2 asks about a specific interaction rather than a general disposition. 'Think of one moment' forces a concrete memory, which is harder to idealize than a general self-assessment. The follow-up for the entitlement branch — 'Did feeling overlooked affect how much you gave in other interactions today?' — is the most psychologically precise question in the tree. It surfaces the transactional logic of entitlement without naming it.</w:t>
      </w:r>
    </w:p>
    <w:p>
      <w:pPr>
        <w:spacing w:after="200"/>
      </w:pPr>
      <w:r>
        <w:rPr>
          <w:rFonts w:ascii="Georgia" w:cs="Georgia" w:eastAsia="Georgia" w:hAnsi="Georgia"/>
          <w:color w:val="1a1a1a"/>
          <w:sz w:val="24"/>
          <w:szCs w:val="24"/>
        </w:rPr>
        <w:t xml:space="preserve">Importantly, the contribution branch does not end in unqualified celebration. The follow-up asks whether the giving was deliberate or automatic. This matters because automatic giving can mask an undeveloped moral agency — the person does the right thing habitually but has not built the conscious orientation that makes contribution durable under pressure.</w:t>
      </w:r>
    </w:p>
    <w:p>
      <w:pPr>
        <w:spacing w:after="160"/>
      </w:pPr>
    </w:p>
    <w:p>
      <w:pPr>
        <w:pStyle w:val="Heading2"/>
        <w:spacing w:after="80" w:before="280"/>
      </w:pPr>
      <w:r>
        <w:rPr>
          <w:rFonts w:ascii="Georgia" w:cs="Georgia" w:eastAsia="Georgia" w:hAnsi="Georgia"/>
          <w:b/>
          <w:bCs/>
          <w:color w:val="2a2a2a"/>
          <w:sz w:val="26"/>
          <w:szCs w:val="26"/>
        </w:rPr>
        <w:t xml:space="preserve">Axis 3: Radius of concern</w:t>
      </w:r>
    </w:p>
    <w:p>
      <w:pPr>
        <w:spacing w:after="200"/>
      </w:pPr>
      <w:r>
        <w:rPr>
          <w:rFonts w:ascii="Georgia" w:cs="Georgia" w:eastAsia="Georgia" w:hAnsi="Georgia"/>
          <w:color w:val="1a1a1a"/>
          <w:sz w:val="24"/>
          <w:szCs w:val="24"/>
        </w:rPr>
        <w:t xml:space="preserve">Maslow's 1969 paper on self-transcendence — written three years before his death and not published in his lifetime — proposed a sixth level of human need above self-actualization: the need to contribute to something beyond the self. The radius axis operationalizes this as a cognitive question rather than a motivational one.</w:t>
      </w:r>
    </w:p>
    <w:p>
      <w:pPr>
        <w:spacing w:after="200"/>
      </w:pPr>
      <w:r>
        <w:rPr>
          <w:rFonts w:ascii="Georgia" w:cs="Georgia" w:eastAsia="Georgia" w:hAnsi="Georgia"/>
          <w:color w:val="1a1a1a"/>
          <w:sz w:val="24"/>
          <w:szCs w:val="24"/>
        </w:rPr>
        <w:t xml:space="preserve">The opening options in A3 run from narrow to wide: myself → my team → a specific colleague → the customer. This is not a moral hierarchy. Someone absorbed in their own problem is not a worse person than someone thinking of the customer. But the radius of concern correlates with meaning, resilience, and the kind of thinking that improves organizations. The tree surfaces it without prescribing it.</w:t>
      </w:r>
    </w:p>
    <w:p>
      <w:pPr>
        <w:spacing w:after="200"/>
      </w:pPr>
      <w:r>
        <w:rPr>
          <w:rFonts w:ascii="Georgia" w:cs="Georgia" w:eastAsia="Georgia" w:hAnsi="Georgia"/>
          <w:color w:val="1a1a1a"/>
          <w:sz w:val="24"/>
          <w:szCs w:val="24"/>
        </w:rPr>
        <w:t xml:space="preserve">The self branch follow-up — 'Tomorrow, if you brought one other person's perspective in, whose would be most useful?' — is designed to do gentle work. It does not ask the person to change. It asks them to imagine, which is cognitively easier and more likely to actually shift something by the next morning.</w:t>
      </w:r>
    </w:p>
    <w:p>
      <w:pPr>
        <w:pBdr>
          <w:bottom w:val="single" w:color="dddddd" w:sz="2"/>
        </w:pBdr>
        <w:spacing w:after="240"/>
      </w:pPr>
    </w:p>
    <w:p>
      <w:pPr>
        <w:pStyle w:val="Heading1"/>
        <w:spacing w:after="120" w:before="360"/>
      </w:pPr>
      <w:r>
        <w:rPr>
          <w:rFonts w:ascii="Georgia" w:cs="Georgia" w:eastAsia="Georgia" w:hAnsi="Georgia"/>
          <w:b/>
          <w:bCs/>
          <w:color w:val="1a1a1a"/>
          <w:sz w:val="32"/>
          <w:szCs w:val="32"/>
        </w:rPr>
        <w:t xml:space="preserve">2. How the branching was designed</w:t>
      </w:r>
    </w:p>
    <w:p>
      <w:pPr>
        <w:spacing w:after="200"/>
      </w:pPr>
      <w:r>
        <w:rPr>
          <w:rFonts w:ascii="Georgia" w:cs="Georgia" w:eastAsia="Georgia" w:hAnsi="Georgia"/>
          <w:color w:val="1a1a1a"/>
          <w:sz w:val="24"/>
          <w:szCs w:val="24"/>
        </w:rPr>
        <w:t xml:space="preserve">The tree has three decision nodes — D1, D_A2, D_A3 — one per axis. Each routes based on the opening question for that axis. The opening question is always the most behavioural question: it captures what actually happened rather than what the person wishes had happened.</w:t>
      </w:r>
    </w:p>
    <w:p>
      <w:pPr>
        <w:spacing w:after="200"/>
      </w:pPr>
      <w:r>
        <w:rPr>
          <w:rFonts w:ascii="Georgia" w:cs="Georgia" w:eastAsia="Georgia" w:hAnsi="Georgia"/>
          <w:color w:val="1a1a1a"/>
          <w:sz w:val="24"/>
          <w:szCs w:val="24"/>
        </w:rPr>
        <w:t xml:space="preserve">The follow-up questions are identical in structure across both branches of each axis: one question probing the internal experience, one probing the consequence or pattern. This symmetry means both paths receive equal depth of treatment — someone on the 'victim' path gets just as rigorous a reflection as someone on the 'victor' path. The tree does not give the 'good' path more questions or longer reflections.</w:t>
      </w:r>
    </w:p>
    <w:p>
      <w:pPr>
        <w:spacing w:after="200"/>
      </w:pPr>
      <w:r>
        <w:rPr>
          <w:rFonts w:ascii="Georgia" w:cs="Georgia" w:eastAsia="Georgia" w:hAnsi="Georgia"/>
          <w:color w:val="1a1a1a"/>
          <w:sz w:val="24"/>
          <w:szCs w:val="24"/>
        </w:rPr>
        <w:t xml:space="preserve">The reflections were the hardest nodes to write. The constraint — no moralising — rules out most of what comes naturally when you want to help someone grow. The reflections in this tree try to do three things: name what the data actually shows ('you see your hand in what happened'), provide a frame from the source material ('the gap between what happens and how we respond'), and invite rather than prescribe. None of them end with 'so try to do X tomorrow'.</w:t>
      </w:r>
    </w:p>
    <w:p>
      <w:pPr>
        <w:spacing w:after="200"/>
      </w:pPr>
      <w:r>
        <w:rPr>
          <w:rFonts w:ascii="Georgia" w:cs="Georgia" w:eastAsia="Georgia" w:hAnsi="Georgia"/>
          <w:color w:val="1a1a1a"/>
          <w:sz w:val="24"/>
          <w:szCs w:val="24"/>
        </w:rPr>
        <w:t xml:space="preserve">The bridge nodes are short deliberately. Their job is to shift the frame, not to add content. A long bridge would dilute the axis transition and make the session feel meandering. The one-sentence bridges work because the axes build on each other naturally: agency (how I responded) → contribution (what I gave) → radius (who I considered). Each axis is a wider version of the previous one.</w:t>
      </w:r>
    </w:p>
    <w:p>
      <w:pPr>
        <w:spacing w:after="160"/>
      </w:pPr>
    </w:p>
    <w:p>
      <w:pPr>
        <w:pStyle w:val="Heading2"/>
        <w:spacing w:after="80" w:before="280"/>
      </w:pPr>
      <w:r>
        <w:rPr>
          <w:rFonts w:ascii="Georgia" w:cs="Georgia" w:eastAsia="Georgia" w:hAnsi="Georgia"/>
          <w:b/>
          <w:bCs/>
          <w:color w:val="2a2a2a"/>
          <w:sz w:val="26"/>
          <w:szCs w:val="26"/>
        </w:rPr>
        <w:t xml:space="preserve">Trade-offs made</w:t>
      </w:r>
    </w:p>
    <w:p>
      <w:pPr>
        <w:pStyle w:val="ListParagraph"/>
        <w:numPr>
          <w:ilvl w:val="0"/>
          <w:numId w:val="2"/>
        </w:numPr>
        <w:spacing w:after="80"/>
      </w:pPr>
      <w:r>
        <w:rPr>
          <w:rFonts w:ascii="Georgia" w:cs="Georgia" w:eastAsia="Georgia" w:hAnsi="Georgia"/>
          <w:color w:val="1a1a1a"/>
          <w:sz w:val="24"/>
          <w:szCs w:val="24"/>
        </w:rPr>
        <w:t xml:space="preserve">Three branches per axis, not five. With four options per opening question and two routing categories, some nuance is collapsed. 'The team came through' and 'I got lucky' both read as external locus, but they are psychologically different. A larger tree could separate them. We prioritized coherence and session length over granularity.</w:t>
      </w:r>
    </w:p>
    <w:p>
      <w:pPr>
        <w:pStyle w:val="ListParagraph"/>
        <w:numPr>
          <w:ilvl w:val="0"/>
          <w:numId w:val="2"/>
        </w:numPr>
        <w:spacing w:after="80"/>
      </w:pPr>
      <w:r>
        <w:rPr>
          <w:rFonts w:ascii="Georgia" w:cs="Georgia" w:eastAsia="Georgia" w:hAnsi="Georgia"/>
          <w:color w:val="1a1a1a"/>
          <w:sz w:val="24"/>
          <w:szCs w:val="24"/>
        </w:rPr>
        <w:t xml:space="preserve">No memory across sessions. The tree does not know what the person said yesterday. A multi-session version could track drift over time — 'you have leaned external for three days in a row' — which would be far more useful. This would require a session store and was out of scope for v1.</w:t>
      </w:r>
    </w:p>
    <w:p>
      <w:pPr>
        <w:pStyle w:val="ListParagraph"/>
        <w:numPr>
          <w:ilvl w:val="0"/>
          <w:numId w:val="2"/>
        </w:numPr>
        <w:spacing w:after="80"/>
      </w:pPr>
      <w:r>
        <w:rPr>
          <w:rFonts w:ascii="Georgia" w:cs="Georgia" w:eastAsia="Georgia" w:hAnsi="Georgia"/>
          <w:color w:val="1a1a1a"/>
          <w:sz w:val="24"/>
          <w:szCs w:val="24"/>
        </w:rPr>
        <w:t xml:space="preserve">Two signals per axis, not weighted. Each signal tallies +1 regardless of which question produced it. A psychometrically cleaner version would weight the opening question (more behavioral) more heavily than the follow-up (more introspective). We chose simplicity for auditability.</w:t>
      </w:r>
    </w:p>
    <w:p>
      <w:pPr>
        <w:spacing w:after="160"/>
      </w:pPr>
    </w:p>
    <w:p>
      <w:pPr>
        <w:pStyle w:val="Heading2"/>
        <w:spacing w:after="80" w:before="280"/>
      </w:pPr>
      <w:r>
        <w:rPr>
          <w:rFonts w:ascii="Georgia" w:cs="Georgia" w:eastAsia="Georgia" w:hAnsi="Georgia"/>
          <w:b/>
          <w:bCs/>
          <w:color w:val="2a2a2a"/>
          <w:sz w:val="26"/>
          <w:szCs w:val="26"/>
        </w:rPr>
        <w:t xml:space="preserve">What I would improve with more time</w:t>
      </w:r>
    </w:p>
    <w:p>
      <w:pPr>
        <w:pStyle w:val="ListParagraph"/>
        <w:numPr>
          <w:ilvl w:val="0"/>
          <w:numId w:val="2"/>
        </w:numPr>
        <w:spacing w:after="80"/>
      </w:pPr>
      <w:r>
        <w:rPr>
          <w:rFonts w:ascii="Georgia" w:cs="Georgia" w:eastAsia="Georgia" w:hAnsi="Georgia"/>
          <w:color w:val="1a1a1a"/>
          <w:sz w:val="24"/>
          <w:szCs w:val="24"/>
        </w:rPr>
        <w:t xml:space="preserve">Add a fourth axis — Timescale. People who are stuck often cannot see past the immediate crisis. A short axis asking 'When you think about this problem, are you thinking about today, this week, or this quarter?' would surface temporal fixation, which is a distinct psychological mode from victim/victor.</w:t>
      </w:r>
    </w:p>
    <w:p>
      <w:pPr>
        <w:pStyle w:val="ListParagraph"/>
        <w:numPr>
          <w:ilvl w:val="0"/>
          <w:numId w:val="2"/>
        </w:numPr>
        <w:spacing w:after="80"/>
      </w:pPr>
      <w:r>
        <w:rPr>
          <w:rFonts w:ascii="Georgia" w:cs="Georgia" w:eastAsia="Georgia" w:hAnsi="Georgia"/>
          <w:color w:val="1a1a1a"/>
          <w:sz w:val="24"/>
          <w:szCs w:val="24"/>
        </w:rPr>
        <w:t xml:space="preserve">Persona-aware opening. The first question is currently the same for everyone. Knowing whether the user typically trends internal or external (from past sessions) would allow the opening question to probe the edge of their range rather than the centre of it.</w:t>
      </w:r>
    </w:p>
    <w:p>
      <w:pPr>
        <w:pStyle w:val="ListParagraph"/>
        <w:numPr>
          <w:ilvl w:val="0"/>
          <w:numId w:val="2"/>
        </w:numPr>
        <w:spacing w:after="80"/>
      </w:pPr>
      <w:r>
        <w:rPr>
          <w:rFonts w:ascii="Georgia" w:cs="Georgia" w:eastAsia="Georgia" w:hAnsi="Georgia"/>
          <w:color w:val="1a1a1a"/>
          <w:sz w:val="24"/>
          <w:szCs w:val="24"/>
        </w:rPr>
        <w:t xml:space="preserve">Softer option wording tested against real users. Several options feel slightly clinical on rereading — 'I felt stuck and couldn't find a foothold' is psychologically accurate but may feel diagnostic to someone who is already defensive. User testing would surface which options read as safe and which feel like traps.</w:t>
      </w:r>
    </w:p>
    <w:p>
      <w:pPr>
        <w:pBdr>
          <w:bottom w:val="single" w:color="dddddd" w:sz="2"/>
        </w:pBdr>
        <w:spacing w:after="360"/>
      </w:pPr>
    </w:p>
    <w:p>
      <w:pPr>
        <w:pStyle w:val="Heading1"/>
        <w:spacing w:after="120" w:before="360"/>
      </w:pPr>
      <w:r>
        <w:rPr>
          <w:rFonts w:ascii="Georgia" w:cs="Georgia" w:eastAsia="Georgia" w:hAnsi="Georgia"/>
          <w:b/>
          <w:bCs/>
          <w:color w:val="1a1a1a"/>
          <w:sz w:val="32"/>
          <w:szCs w:val="32"/>
        </w:rPr>
        <w:t xml:space="preserve">Sources</w:t>
      </w:r>
    </w:p>
    <w:p>
      <w:pPr>
        <w:spacing w:after="120"/>
      </w:pPr>
      <w:r>
        <w:rPr>
          <w:rFonts w:ascii="Georgia" w:cs="Georgia" w:eastAsia="Georgia" w:hAnsi="Georgia"/>
          <w:color w:val="1a1a1a"/>
          <w:sz w:val="24"/>
          <w:szCs w:val="24"/>
        </w:rPr>
        <w:t xml:space="preserve">Rotter, J. B. (1954). Social learning and clinical psychology. Prentice-Hall. [Locus of Control origin]</w:t>
      </w:r>
    </w:p>
    <w:p>
      <w:pPr>
        <w:spacing w:after="120"/>
      </w:pPr>
      <w:r>
        <w:rPr>
          <w:rFonts w:ascii="Georgia" w:cs="Georgia" w:eastAsia="Georgia" w:hAnsi="Georgia"/>
          <w:color w:val="1a1a1a"/>
          <w:sz w:val="24"/>
          <w:szCs w:val="24"/>
        </w:rPr>
        <w:t xml:space="preserve">Dweck, C. S. (2006). Mindset: The new psychology of success. Random House. [Growth vs fixed mindset]</w:t>
      </w:r>
    </w:p>
    <w:p>
      <w:pPr>
        <w:spacing w:after="120"/>
      </w:pPr>
      <w:r>
        <w:rPr>
          <w:rFonts w:ascii="Georgia" w:cs="Georgia" w:eastAsia="Georgia" w:hAnsi="Georgia"/>
          <w:color w:val="1a1a1a"/>
          <w:sz w:val="24"/>
          <w:szCs w:val="24"/>
        </w:rPr>
        <w:t xml:space="preserve">Campbell, W. K., Bonacci, A. M., Shelton, J., Exline, J. J., &amp; Bushman, B. J. (2004). Psychological entitlement: Interpersonal consequences and validation of a self-report measure. Journal of Personality Assessment, 83(1), 29–45.</w:t>
      </w:r>
    </w:p>
    <w:p>
      <w:pPr>
        <w:spacing w:after="120"/>
      </w:pPr>
      <w:r>
        <w:rPr>
          <w:rFonts w:ascii="Georgia" w:cs="Georgia" w:eastAsia="Georgia" w:hAnsi="Georgia"/>
          <w:color w:val="1a1a1a"/>
          <w:sz w:val="24"/>
          <w:szCs w:val="24"/>
        </w:rPr>
        <w:t xml:space="preserve">Organ, D. W. (1988). Organizational citizenship behavior: The good soldier syndrome. Lexington Books. [OCB / contribution orientation]</w:t>
      </w:r>
    </w:p>
    <w:p>
      <w:pPr>
        <w:spacing w:after="120"/>
      </w:pPr>
      <w:r>
        <w:rPr>
          <w:rFonts w:ascii="Georgia" w:cs="Georgia" w:eastAsia="Georgia" w:hAnsi="Georgia"/>
          <w:color w:val="1a1a1a"/>
          <w:sz w:val="24"/>
          <w:szCs w:val="24"/>
        </w:rPr>
        <w:t xml:space="preserve">Maslow, A. H. (1969). The farther reaches of human nature. Journal of Transpersonal Psychology, 1(1), 1–9. [Self-transcendence as Axis 3 anchor]</w:t>
      </w:r>
    </w:p>
    <w:p>
      <w:pPr>
        <w:spacing w:after="200"/>
      </w:pPr>
      <w:r>
        <w:rPr>
          <w:rFonts w:ascii="Georgia" w:cs="Georgia" w:eastAsia="Georgia" w:hAnsi="Georgia"/>
          <w:color w:val="1a1a1a"/>
          <w:sz w:val="24"/>
          <w:szCs w:val="24"/>
        </w:rPr>
        <w:t xml:space="preserve">Batson, C. D. (2011). Altruism in humans. Oxford University Press. [Perspective-taking / empathy-as-understanding]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sz w:val="32"/>
      <w:szCs w:val="32"/>
    </w:rPr>
  </w:style>
  <w:style w:type="paragraph" w:styleId="Heading2">
    <w:name w:val="Heading 2"/>
    <w:basedOn w:val="Normal"/>
    <w:next w:val="Normal"/>
    <w:qFormat/>
    <w:pPr>
      <w:spacing w:after="80" w:before="28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2026-04-28T13:28:01.079Z</dcterms:created>
  <dcterms:modified xsi:type="dcterms:W3CDTF">2026-04-28T13:28:01.080Z</dcterms:modified>
</cp:coreProperties>
</file>

<file path=docProps/custom.xml><?xml version="1.0" encoding="utf-8"?>
<Properties xmlns="http://schemas.openxmlformats.org/officeDocument/2006/custom-properties" xmlns:vt="http://schemas.openxmlformats.org/officeDocument/2006/docPropsVTypes"/>
</file>