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F172A"/>
          <w:sz w:val="52"/>
        </w:rPr>
        <w:t>ZONE7 AI</w:t>
      </w:r>
    </w:p>
    <w:p>
      <w:pPr>
        <w:jc w:val="left"/>
      </w:pPr>
      <w:r>
        <w:rPr>
          <w:rFonts w:ascii="Calibri" w:hAnsi="Calibri"/>
          <w:b/>
          <w:color w:val="4F46E5"/>
          <w:sz w:val="24"/>
        </w:rPr>
        <w:t>Institutional Venture Strategy, Financial Modeling &amp; Due Diligence Memorandum</w:t>
      </w:r>
    </w:p>
    <w:p>
      <w:r>
        <w:rPr>
          <w:rFonts w:ascii="Calibri" w:hAnsi="Calibri"/>
          <w:color w:val="64748B"/>
          <w:sz w:val="19"/>
        </w:rPr>
        <w:t>Apex Venture Partners · Autonomous Multi-Agent Deliberation Chamber</w:t>
        <w:br/>
      </w:r>
    </w:p>
    <w:p>
      <w:pPr>
        <w:spacing w:after="120"/>
      </w:pPr>
    </w:p>
    <w:p>
      <w:pPr>
        <w:pStyle w:val="Heading1"/>
        <w:spacing w:before="360" w:after="120"/>
      </w:pPr>
      <w:r>
        <w:rPr>
          <w:rFonts w:ascii="Calibri" w:hAnsi="Calibri"/>
          <w:b/>
          <w:color w:val="0F172A"/>
          <w:sz w:val="28"/>
        </w:rPr>
        <w:t>SECTION 1.0 — BUSINESS MODEL CANVAS (9 BLOCKS)</w:t>
      </w:r>
    </w:p>
    <w:p>
      <w:pPr>
        <w:pStyle w:val="Heading2"/>
        <w:spacing w:before="200" w:after="80"/>
      </w:pPr>
      <w:r>
        <w:rPr>
          <w:rFonts w:ascii="Calibri" w:hAnsi="Calibri"/>
          <w:color w:val="4F46E5"/>
        </w:rPr>
        <w:t>Value Propositions</w:t>
      </w:r>
    </w:p>
    <w:p>
      <w:pPr>
        <w:pStyle w:val="ListBullet"/>
        <w:spacing w:after="60" w:line="276" w:lineRule="auto"/>
      </w:pPr>
      <w:r>
        <w:rPr>
          <w:rFonts w:ascii="Calibri" w:hAnsi="Calibri"/>
          <w:color w:val="1E293B"/>
          <w:sz w:val="20"/>
        </w:rPr>
        <w:t>Autonomous 13-report institutional diligence brief delivered in under 2 minutes</w:t>
      </w:r>
    </w:p>
    <w:p>
      <w:pPr>
        <w:pStyle w:val="ListBullet"/>
        <w:spacing w:after="60" w:line="276" w:lineRule="auto"/>
      </w:pPr>
      <w:r>
        <w:rPr>
          <w:rFonts w:ascii="Calibri" w:hAnsi="Calibri"/>
          <w:color w:val="1E293B"/>
          <w:sz w:val="20"/>
        </w:rPr>
        <w:t>Deterministic mathematical coherence preventing spreadsheet hallucinations</w:t>
      </w:r>
    </w:p>
    <w:p>
      <w:pPr>
        <w:pStyle w:val="ListBullet"/>
        <w:spacing w:after="60" w:line="276" w:lineRule="auto"/>
      </w:pPr>
      <w:r>
        <w:rPr>
          <w:rFonts w:ascii="Calibri" w:hAnsi="Calibri"/>
          <w:color w:val="1E293B"/>
          <w:sz w:val="20"/>
        </w:rPr>
        <w:t>Full statutory compliance audit covering India DPDPA, GST, and DPIIT recognition</w:t>
      </w:r>
    </w:p>
    <w:p>
      <w:pPr>
        <w:pStyle w:val="ListBullet"/>
        <w:spacing w:after="60" w:line="276" w:lineRule="auto"/>
      </w:pPr>
      <w:r>
        <w:rPr>
          <w:rFonts w:ascii="Calibri" w:hAnsi="Calibri"/>
          <w:color w:val="1E293B"/>
          <w:sz w:val="20"/>
        </w:rPr>
        <w:t>Objective 0-100 venture viability scoring benchmarked against industry peers</w:t>
      </w:r>
    </w:p>
    <w:p>
      <w:pPr>
        <w:pStyle w:val="Heading2"/>
        <w:spacing w:before="200" w:after="80"/>
      </w:pPr>
      <w:r>
        <w:rPr>
          <w:rFonts w:ascii="Calibri" w:hAnsi="Calibri"/>
          <w:color w:val="4F46E5"/>
        </w:rPr>
        <w:t>Customer Segments</w:t>
      </w:r>
    </w:p>
    <w:p>
      <w:pPr>
        <w:pStyle w:val="ListBullet"/>
        <w:spacing w:after="60" w:line="276" w:lineRule="auto"/>
      </w:pPr>
      <w:r>
        <w:rPr>
          <w:rFonts w:ascii="Calibri" w:hAnsi="Calibri"/>
          <w:color w:val="1E293B"/>
          <w:sz w:val="20"/>
        </w:rPr>
        <w:t>Early-stage &amp; first-time SportsTech / Sports AI startup founders in United States</w:t>
      </w:r>
    </w:p>
    <w:p>
      <w:pPr>
        <w:pStyle w:val="ListBullet"/>
        <w:spacing w:after="60" w:line="276" w:lineRule="auto"/>
      </w:pPr>
      <w:r>
        <w:rPr>
          <w:rFonts w:ascii="Calibri" w:hAnsi="Calibri"/>
          <w:color w:val="1E293B"/>
          <w:sz w:val="20"/>
        </w:rPr>
        <w:t>Incubators, accelerators, and university entrepreneurship cells</w:t>
      </w:r>
    </w:p>
    <w:p>
      <w:pPr>
        <w:pStyle w:val="ListBullet"/>
        <w:spacing w:after="60" w:line="276" w:lineRule="auto"/>
      </w:pPr>
      <w:r>
        <w:rPr>
          <w:rFonts w:ascii="Calibri" w:hAnsi="Calibri"/>
          <w:color w:val="1E293B"/>
          <w:sz w:val="20"/>
        </w:rPr>
        <w:t>Angel syndicates, micro-VCs, and family offices conducting pre-seed screening</w:t>
      </w:r>
    </w:p>
    <w:p>
      <w:pPr>
        <w:pStyle w:val="Heading2"/>
        <w:spacing w:before="200" w:after="80"/>
      </w:pPr>
      <w:r>
        <w:rPr>
          <w:rFonts w:ascii="Calibri" w:hAnsi="Calibri"/>
          <w:color w:val="4F46E5"/>
        </w:rPr>
        <w:t>Channels</w:t>
      </w:r>
    </w:p>
    <w:p>
      <w:pPr>
        <w:pStyle w:val="ListBullet"/>
        <w:spacing w:after="60" w:line="276" w:lineRule="auto"/>
      </w:pPr>
      <w:r>
        <w:rPr>
          <w:rFonts w:ascii="Calibri" w:hAnsi="Calibri"/>
          <w:color w:val="1E293B"/>
          <w:sz w:val="20"/>
        </w:rPr>
        <w:t>Direct self-serve web application with free viability preview</w:t>
      </w:r>
    </w:p>
    <w:p>
      <w:pPr>
        <w:pStyle w:val="ListBullet"/>
        <w:spacing w:after="60" w:line="276" w:lineRule="auto"/>
      </w:pPr>
      <w:r>
        <w:rPr>
          <w:rFonts w:ascii="Calibri" w:hAnsi="Calibri"/>
          <w:color w:val="1E293B"/>
          <w:sz w:val="20"/>
        </w:rPr>
        <w:t>B2B incubator cohort partnerships with bulk screening licenses</w:t>
      </w:r>
    </w:p>
    <w:p>
      <w:pPr>
        <w:pStyle w:val="ListBullet"/>
        <w:spacing w:after="60" w:line="276" w:lineRule="auto"/>
      </w:pPr>
      <w:r>
        <w:rPr>
          <w:rFonts w:ascii="Calibri" w:hAnsi="Calibri"/>
          <w:color w:val="1E293B"/>
          <w:sz w:val="20"/>
        </w:rPr>
        <w:t>Developer &amp; platform API integration for investor diligence workflows</w:t>
      </w:r>
    </w:p>
    <w:p>
      <w:pPr>
        <w:pStyle w:val="ListBullet"/>
        <w:spacing w:after="60" w:line="276" w:lineRule="auto"/>
      </w:pPr>
      <w:r>
        <w:rPr>
          <w:rFonts w:ascii="Calibri" w:hAnsi="Calibri"/>
          <w:color w:val="1E293B"/>
          <w:sz w:val="20"/>
        </w:rPr>
        <w:t>Organic founder community content, teardowns, and benchmark reports</w:t>
      </w:r>
    </w:p>
    <w:p>
      <w:pPr>
        <w:pStyle w:val="Heading2"/>
        <w:spacing w:before="200" w:after="80"/>
      </w:pPr>
      <w:r>
        <w:rPr>
          <w:rFonts w:ascii="Calibri" w:hAnsi="Calibri"/>
          <w:color w:val="4F46E5"/>
        </w:rPr>
        <w:t>Customer Relationships</w:t>
      </w:r>
    </w:p>
    <w:p>
      <w:pPr>
        <w:pStyle w:val="ListBullet"/>
        <w:spacing w:after="60" w:line="276" w:lineRule="auto"/>
      </w:pPr>
      <w:r>
        <w:rPr>
          <w:rFonts w:ascii="Calibri" w:hAnsi="Calibri"/>
          <w:color w:val="1E293B"/>
          <w:sz w:val="20"/>
        </w:rPr>
        <w:t>Automated self-serve onboarding with interactive advisory dashboards</w:t>
      </w:r>
    </w:p>
    <w:p>
      <w:pPr>
        <w:pStyle w:val="ListBullet"/>
        <w:spacing w:after="60" w:line="276" w:lineRule="auto"/>
      </w:pPr>
      <w:r>
        <w:rPr>
          <w:rFonts w:ascii="Calibri" w:hAnsi="Calibri"/>
          <w:color w:val="1E293B"/>
          <w:sz w:val="20"/>
        </w:rPr>
        <w:t>Dedicated institutional partner support for incubator managers</w:t>
      </w:r>
    </w:p>
    <w:p>
      <w:pPr>
        <w:pStyle w:val="ListBullet"/>
        <w:spacing w:after="60" w:line="276" w:lineRule="auto"/>
      </w:pPr>
      <w:r>
        <w:rPr>
          <w:rFonts w:ascii="Calibri" w:hAnsi="Calibri"/>
          <w:color w:val="1E293B"/>
          <w:sz w:val="20"/>
        </w:rPr>
        <w:t>Continuous automated re-scoring as venture metrics evolve</w:t>
      </w:r>
    </w:p>
    <w:p>
      <w:pPr>
        <w:pStyle w:val="Heading2"/>
        <w:spacing w:before="200" w:after="80"/>
      </w:pPr>
      <w:r>
        <w:rPr>
          <w:rFonts w:ascii="Calibri" w:hAnsi="Calibri"/>
          <w:color w:val="4F46E5"/>
        </w:rPr>
        <w:t>Revenue Streams</w:t>
      </w:r>
    </w:p>
    <w:p>
      <w:pPr>
        <w:pStyle w:val="ListBullet"/>
        <w:spacing w:after="60" w:line="276" w:lineRule="auto"/>
      </w:pPr>
      <w:r>
        <w:rPr>
          <w:rFonts w:ascii="Calibri" w:hAnsi="Calibri"/>
          <w:color w:val="1E293B"/>
          <w:sz w:val="20"/>
        </w:rPr>
        <w:t>Starter SaaS tier ($1,499/mo) for individual pre-seed founders</w:t>
      </w:r>
    </w:p>
    <w:p>
      <w:pPr>
        <w:pStyle w:val="ListBullet"/>
        <w:spacing w:after="60" w:line="276" w:lineRule="auto"/>
      </w:pPr>
      <w:r>
        <w:rPr>
          <w:rFonts w:ascii="Calibri" w:hAnsi="Calibri"/>
          <w:color w:val="1E293B"/>
          <w:sz w:val="20"/>
        </w:rPr>
        <w:t>Professional tier ($3,999/mo) with full exports and cap-table modeling</w:t>
      </w:r>
    </w:p>
    <w:p>
      <w:pPr>
        <w:pStyle w:val="ListBullet"/>
        <w:spacing w:after="60" w:line="276" w:lineRule="auto"/>
      </w:pPr>
      <w:r>
        <w:rPr>
          <w:rFonts w:ascii="Calibri" w:hAnsi="Calibri"/>
          <w:color w:val="1E293B"/>
          <w:sz w:val="20"/>
        </w:rPr>
        <w:t>Enterprise Incubator license ($29,999/mo) for cohort batch screening</w:t>
      </w:r>
    </w:p>
    <w:p>
      <w:pPr>
        <w:pStyle w:val="ListBullet"/>
        <w:spacing w:after="60" w:line="276" w:lineRule="auto"/>
      </w:pPr>
      <w:r>
        <w:rPr>
          <w:rFonts w:ascii="Calibri" w:hAnsi="Calibri"/>
          <w:color w:val="1E293B"/>
          <w:sz w:val="20"/>
        </w:rPr>
        <w:t>Custom diligence API usage fees for venture capital funds</w:t>
      </w:r>
    </w:p>
    <w:p>
      <w:pPr>
        <w:pStyle w:val="Heading2"/>
        <w:spacing w:before="200" w:after="80"/>
      </w:pPr>
      <w:r>
        <w:rPr>
          <w:rFonts w:ascii="Calibri" w:hAnsi="Calibri"/>
          <w:color w:val="4F46E5"/>
        </w:rPr>
        <w:t>Key Resources</w:t>
      </w:r>
    </w:p>
    <w:p>
      <w:pPr>
        <w:pStyle w:val="ListBullet"/>
        <w:spacing w:after="60" w:line="276" w:lineRule="auto"/>
      </w:pPr>
      <w:r>
        <w:rPr>
          <w:rFonts w:ascii="Calibri" w:hAnsi="Calibri"/>
          <w:color w:val="1E293B"/>
          <w:sz w:val="20"/>
        </w:rPr>
        <w:t>Multi-agent reasoning pipeline and proprietary prompt graphs</w:t>
      </w:r>
    </w:p>
    <w:p>
      <w:pPr>
        <w:pStyle w:val="ListBullet"/>
        <w:spacing w:after="60" w:line="276" w:lineRule="auto"/>
      </w:pPr>
      <w:r>
        <w:rPr>
          <w:rFonts w:ascii="Calibri" w:hAnsi="Calibri"/>
          <w:color w:val="1E293B"/>
          <w:sz w:val="20"/>
        </w:rPr>
        <w:t>Deterministic financial verification engine and benchmark database</w:t>
      </w:r>
    </w:p>
    <w:p>
      <w:pPr>
        <w:pStyle w:val="ListBullet"/>
        <w:spacing w:after="60" w:line="276" w:lineRule="auto"/>
      </w:pPr>
      <w:r>
        <w:rPr>
          <w:rFonts w:ascii="Calibri" w:hAnsi="Calibri"/>
          <w:color w:val="1E293B"/>
          <w:sz w:val="20"/>
        </w:rPr>
        <w:t>Indian statutory and regulatory compliance knowledge base</w:t>
      </w:r>
    </w:p>
    <w:p>
      <w:pPr>
        <w:pStyle w:val="ListBullet"/>
        <w:spacing w:after="60" w:line="276" w:lineRule="auto"/>
      </w:pPr>
      <w:r>
        <w:rPr>
          <w:rFonts w:ascii="Calibri" w:hAnsi="Calibri"/>
          <w:color w:val="1E293B"/>
          <w:sz w:val="20"/>
        </w:rPr>
        <w:t>High-performance vector embeddings and document indexing infrastructure</w:t>
      </w:r>
    </w:p>
    <w:p>
      <w:pPr>
        <w:pStyle w:val="Heading2"/>
        <w:spacing w:before="200" w:after="80"/>
      </w:pPr>
      <w:r>
        <w:rPr>
          <w:rFonts w:ascii="Calibri" w:hAnsi="Calibri"/>
          <w:color w:val="4F46E5"/>
        </w:rPr>
        <w:t>Key Activities</w:t>
      </w:r>
    </w:p>
    <w:p>
      <w:pPr>
        <w:pStyle w:val="ListBullet"/>
        <w:spacing w:after="60" w:line="276" w:lineRule="auto"/>
      </w:pPr>
      <w:r>
        <w:rPr>
          <w:rFonts w:ascii="Calibri" w:hAnsi="Calibri"/>
          <w:color w:val="1E293B"/>
          <w:sz w:val="20"/>
        </w:rPr>
        <w:t>Continuous agent prompt engineering and multi-model router optimization</w:t>
      </w:r>
    </w:p>
    <w:p>
      <w:pPr>
        <w:pStyle w:val="ListBullet"/>
        <w:spacing w:after="60" w:line="276" w:lineRule="auto"/>
      </w:pPr>
      <w:r>
        <w:rPr>
          <w:rFonts w:ascii="Calibri" w:hAnsi="Calibri"/>
          <w:color w:val="1E293B"/>
          <w:sz w:val="20"/>
        </w:rPr>
        <w:t>Regulatory and venture market benchmark data ingestion</w:t>
      </w:r>
    </w:p>
    <w:p>
      <w:pPr>
        <w:pStyle w:val="ListBullet"/>
        <w:spacing w:after="60" w:line="276" w:lineRule="auto"/>
      </w:pPr>
      <w:r>
        <w:rPr>
          <w:rFonts w:ascii="Calibri" w:hAnsi="Calibri"/>
          <w:color w:val="1E293B"/>
          <w:sz w:val="20"/>
        </w:rPr>
        <w:t>Incubator and university partnership expansion</w:t>
      </w:r>
    </w:p>
    <w:p>
      <w:pPr>
        <w:pStyle w:val="ListBullet"/>
        <w:spacing w:after="60" w:line="276" w:lineRule="auto"/>
      </w:pPr>
      <w:r>
        <w:rPr>
          <w:rFonts w:ascii="Calibri" w:hAnsi="Calibri"/>
          <w:color w:val="1E293B"/>
          <w:sz w:val="20"/>
        </w:rPr>
        <w:t>Platform security, privacy guardrails, and compliance certification</w:t>
      </w:r>
    </w:p>
    <w:p>
      <w:pPr>
        <w:pStyle w:val="Heading2"/>
        <w:spacing w:before="200" w:after="80"/>
      </w:pPr>
      <w:r>
        <w:rPr>
          <w:rFonts w:ascii="Calibri" w:hAnsi="Calibri"/>
          <w:color w:val="4F46E5"/>
        </w:rPr>
        <w:t>Key Partnerships</w:t>
      </w:r>
    </w:p>
    <w:p>
      <w:pPr>
        <w:pStyle w:val="ListBullet"/>
        <w:spacing w:after="60" w:line="276" w:lineRule="auto"/>
      </w:pPr>
      <w:r>
        <w:rPr>
          <w:rFonts w:ascii="Calibri" w:hAnsi="Calibri"/>
          <w:color w:val="1E293B"/>
          <w:sz w:val="20"/>
        </w:rPr>
        <w:t>DPIIT-recognized startup incubators and university E-cells</w:t>
      </w:r>
    </w:p>
    <w:p>
      <w:pPr>
        <w:pStyle w:val="ListBullet"/>
        <w:spacing w:after="60" w:line="276" w:lineRule="auto"/>
      </w:pPr>
      <w:r>
        <w:rPr>
          <w:rFonts w:ascii="Calibri" w:hAnsi="Calibri"/>
          <w:color w:val="1E293B"/>
          <w:sz w:val="20"/>
        </w:rPr>
        <w:t>Cloud infrastructure and high-throughput LLM inference providers</w:t>
      </w:r>
    </w:p>
    <w:p>
      <w:pPr>
        <w:pStyle w:val="ListBullet"/>
        <w:spacing w:after="60" w:line="276" w:lineRule="auto"/>
      </w:pPr>
      <w:r>
        <w:rPr>
          <w:rFonts w:ascii="Calibri" w:hAnsi="Calibri"/>
          <w:color w:val="1E293B"/>
          <w:sz w:val="20"/>
        </w:rPr>
        <w:t>Fintech and legal advisory networks for compliance data exchange</w:t>
      </w:r>
    </w:p>
    <w:p>
      <w:pPr>
        <w:pStyle w:val="Heading2"/>
        <w:spacing w:before="200" w:after="80"/>
      </w:pPr>
      <w:r>
        <w:rPr>
          <w:rFonts w:ascii="Calibri" w:hAnsi="Calibri"/>
          <w:color w:val="4F46E5"/>
        </w:rPr>
        <w:t>Cost Structure</w:t>
      </w:r>
    </w:p>
    <w:p>
      <w:pPr>
        <w:pStyle w:val="ListBullet"/>
        <w:spacing w:after="60" w:line="276" w:lineRule="auto"/>
      </w:pPr>
      <w:r>
        <w:rPr>
          <w:rFonts w:ascii="Calibri" w:hAnsi="Calibri"/>
          <w:color w:val="1E293B"/>
          <w:sz w:val="20"/>
        </w:rPr>
        <w:t>Cloud compute and tiered LLM API inference infrastructure (~22%)</w:t>
      </w:r>
    </w:p>
    <w:p>
      <w:pPr>
        <w:pStyle w:val="ListBullet"/>
        <w:spacing w:after="60" w:line="276" w:lineRule="auto"/>
      </w:pPr>
      <w:r>
        <w:rPr>
          <w:rFonts w:ascii="Calibri" w:hAnsi="Calibri"/>
          <w:color w:val="1E293B"/>
          <w:sz w:val="20"/>
        </w:rPr>
        <w:t>Core platform engineering and AI research team salaries (~45%)</w:t>
      </w:r>
    </w:p>
    <w:p>
      <w:pPr>
        <w:pStyle w:val="ListBullet"/>
        <w:spacing w:after="60" w:line="276" w:lineRule="auto"/>
      </w:pPr>
      <w:r>
        <w:rPr>
          <w:rFonts w:ascii="Calibri" w:hAnsi="Calibri"/>
          <w:color w:val="1E293B"/>
          <w:sz w:val="20"/>
        </w:rPr>
        <w:t>Go-to-market, event sponsorships, and incubator partnership enablement (~23%)</w:t>
      </w:r>
    </w:p>
    <w:p>
      <w:pPr>
        <w:pStyle w:val="ListBullet"/>
        <w:spacing w:after="60" w:line="276" w:lineRule="auto"/>
      </w:pPr>
      <w:r>
        <w:rPr>
          <w:rFonts w:ascii="Calibri" w:hAnsi="Calibri"/>
          <w:color w:val="1E293B"/>
          <w:sz w:val="20"/>
        </w:rPr>
        <w:t>Legal, regulatory compliance, and administrative operations (~10%)</w:t>
      </w:r>
    </w:p>
    <w:p>
      <w:pPr>
        <w:spacing w:after="200"/>
      </w:pPr>
    </w:p>
    <w:p>
      <w:pPr>
        <w:pStyle w:val="Heading1"/>
        <w:spacing w:before="360" w:after="120"/>
      </w:pPr>
      <w:r>
        <w:rPr>
          <w:rFonts w:ascii="Calibri" w:hAnsi="Calibri"/>
          <w:b/>
          <w:color w:val="0F172A"/>
          <w:sz w:val="28"/>
        </w:rPr>
        <w:t>SECTION 2.0 — FULL-LENGTH BUSINESS PLAN</w:t>
      </w:r>
    </w:p>
    <w:p>
      <w:pPr>
        <w:pStyle w:val="Heading2"/>
        <w:spacing w:before="200" w:after="80"/>
      </w:pPr>
      <w:r>
        <w:rPr>
          <w:rFonts w:ascii="Calibri" w:hAnsi="Calibri"/>
          <w:color w:val="4F46E5"/>
        </w:rPr>
        <w:t>Company Description</w:t>
      </w:r>
    </w:p>
    <w:p>
      <w:pPr>
        <w:spacing w:after="120" w:line="276" w:lineRule="auto"/>
      </w:pPr>
      <w:r>
        <w:rPr>
          <w:rFonts w:ascii="Calibri" w:hAnsi="Calibri"/>
          <w:color w:val="1E293B"/>
          <w:sz w:val="20"/>
        </w:rPr>
        <w:t>Zone7 AI is an autonomous venture intelligence platform designed to eliminate the 90% early-stage startup mortality rate in United States. By combining specialized multi-agent domain engines with deterministic financial verification, Zone7 AI provides comprehensive validation suites for SportsTech / Sports AI startups.</w:t>
      </w:r>
    </w:p>
    <w:p>
      <w:pPr>
        <w:pStyle w:val="Heading2"/>
        <w:spacing w:before="200" w:after="80"/>
      </w:pPr>
      <w:r>
        <w:rPr>
          <w:rFonts w:ascii="Calibri" w:hAnsi="Calibri"/>
          <w:color w:val="4F46E5"/>
        </w:rPr>
        <w:t>Market Analysis</w:t>
      </w:r>
    </w:p>
    <w:p>
      <w:pPr>
        <w:spacing w:after="120" w:line="276" w:lineRule="auto"/>
      </w:pPr>
      <w:r>
        <w:rPr>
          <w:rFonts w:ascii="Calibri" w:hAnsi="Calibri"/>
          <w:color w:val="1E293B"/>
          <w:sz w:val="20"/>
        </w:rPr>
        <w:t>The venture validation and due diligence landscape across United States is experiencing rapid tailwinds driven by government initiatives like Startup India and Digital India. However, early-stage founders are chronically underserved, caught between shallow generic AI chat tools and unaffordable Big 4 consulting retainers.</w:t>
      </w:r>
    </w:p>
    <w:p>
      <w:pPr>
        <w:pStyle w:val="Heading2"/>
        <w:spacing w:before="200" w:after="80"/>
      </w:pPr>
      <w:r>
        <w:rPr>
          <w:rFonts w:ascii="Calibri" w:hAnsi="Calibri"/>
          <w:color w:val="4F46E5"/>
        </w:rPr>
        <w:t>Market Sizing Triangulation</w:t>
      </w:r>
    </w:p>
    <w:p>
      <w:pPr>
        <w:spacing w:after="120" w:line="276" w:lineRule="auto"/>
      </w:pPr>
      <w:r>
        <w:rPr>
          <w:rFonts w:ascii="Calibri" w:hAnsi="Calibri"/>
          <w:color w:val="1E293B"/>
          <w:sz w:val="20"/>
        </w:rPr>
        <w:t>TAM: $12,000 Cr ($1.4B) global automated diligence market. SAM: $1,000 Cr ($120M) early-stage Indian venture validation. SOM: $50 Cr ($6M) capturing 25,000 active founders and 100 incubator programs within 36 months.</w:t>
      </w:r>
    </w:p>
    <w:p>
      <w:pPr>
        <w:pStyle w:val="Heading2"/>
        <w:spacing w:before="200" w:after="80"/>
      </w:pPr>
      <w:r>
        <w:rPr>
          <w:rFonts w:ascii="Calibri" w:hAnsi="Calibri"/>
          <w:color w:val="4F46E5"/>
        </w:rPr>
        <w:t>Marketing Sales Strategy</w:t>
      </w:r>
    </w:p>
    <w:p>
      <w:pPr>
        <w:spacing w:after="120" w:line="276" w:lineRule="auto"/>
      </w:pPr>
      <w:r>
        <w:rPr>
          <w:rFonts w:ascii="Calibri" w:hAnsi="Calibri"/>
          <w:color w:val="1E293B"/>
          <w:sz w:val="20"/>
        </w:rPr>
        <w:t>A hybrid B2B2C distribution model partnering with incubators and accelerators for cohort onboarding, coupled with a product-led growth (PLG) viral score-sharing widget for organic founder acquisition.</w:t>
      </w:r>
    </w:p>
    <w:p>
      <w:pPr>
        <w:pStyle w:val="Heading2"/>
        <w:spacing w:before="200" w:after="80"/>
      </w:pPr>
      <w:r>
        <w:rPr>
          <w:rFonts w:ascii="Calibri" w:hAnsi="Calibri"/>
          <w:color w:val="4F46E5"/>
        </w:rPr>
        <w:t>Operational Plan</w:t>
      </w:r>
    </w:p>
    <w:p>
      <w:pPr>
        <w:spacing w:after="120" w:line="276" w:lineRule="auto"/>
      </w:pPr>
      <w:r>
        <w:rPr>
          <w:rFonts w:ascii="Calibri" w:hAnsi="Calibri"/>
          <w:color w:val="1E293B"/>
          <w:sz w:val="20"/>
        </w:rPr>
        <w:t>Lean engineering architecture leveraging containerized Python microservices, asynchronous task queues, and local/cloud LLM router orchestration, scaling to support 50,000 monthly audit runs with sub-second response times.</w:t>
      </w:r>
    </w:p>
    <w:p>
      <w:pPr>
        <w:pStyle w:val="Heading2"/>
        <w:spacing w:before="200" w:after="80"/>
      </w:pPr>
      <w:r>
        <w:rPr>
          <w:rFonts w:ascii="Calibri" w:hAnsi="Calibri"/>
          <w:color w:val="4F46E5"/>
        </w:rPr>
        <w:t>Financial Plan</w:t>
      </w:r>
    </w:p>
    <w:p>
      <w:pPr>
        <w:spacing w:after="120" w:line="276" w:lineRule="auto"/>
      </w:pPr>
      <w:r>
        <w:rPr>
          <w:rFonts w:ascii="Calibri" w:hAnsi="Calibri"/>
          <w:color w:val="1E293B"/>
          <w:sz w:val="20"/>
        </w:rPr>
        <w:t>Funded via an initial capital injection of USD 8,000,000 supporting an 18 months runway. Breakeven projected at Month 14 with Year 3 target ARR of $15 Cr and 80%+ gross margin profile.</w:t>
      </w:r>
    </w:p>
    <w:p>
      <w:pPr>
        <w:pStyle w:val="Heading2"/>
        <w:spacing w:before="200" w:after="80"/>
      </w:pPr>
      <w:r>
        <w:rPr>
          <w:rFonts w:ascii="Calibri" w:hAnsi="Calibri"/>
          <w:color w:val="4F46E5"/>
        </w:rPr>
        <w:t>Risk Register</w:t>
      </w:r>
    </w:p>
    <w:p>
      <w:pPr>
        <w:pStyle w:val="ListBullet"/>
        <w:spacing w:after="60" w:line="276" w:lineRule="auto"/>
      </w:pPr>
      <w:r>
        <w:rPr>
          <w:rFonts w:ascii="Calibri" w:hAnsi="Calibri"/>
          <w:b/>
          <w:color w:val="0F172A"/>
          <w:sz w:val="20"/>
        </w:rPr>
        <w:t>Model Drift:</w:t>
      </w:r>
      <w:r>
        <w:rPr>
          <w:rFonts w:ascii="Calibri" w:hAnsi="Calibri"/>
          <w:color w:val="1E293B"/>
          <w:sz w:val="20"/>
        </w:rPr>
        <w:t xml:space="preserve"> Mitigated through continuous automated benchmarks and deterministic validation sentries</w:t>
      </w:r>
    </w:p>
    <w:p>
      <w:pPr>
        <w:pStyle w:val="ListBullet"/>
        <w:spacing w:after="60" w:line="276" w:lineRule="auto"/>
      </w:pPr>
      <w:r>
        <w:rPr>
          <w:rFonts w:ascii="Calibri" w:hAnsi="Calibri"/>
          <w:b/>
          <w:color w:val="0F172A"/>
          <w:sz w:val="20"/>
        </w:rPr>
        <w:t>Distribution Friction:</w:t>
      </w:r>
      <w:r>
        <w:rPr>
          <w:rFonts w:ascii="Calibri" w:hAnsi="Calibri"/>
          <w:color w:val="1E293B"/>
          <w:sz w:val="20"/>
        </w:rPr>
        <w:t xml:space="preserve"> Mitigated through institutional B2B incubator revenue-sharing agreements</w:t>
      </w:r>
    </w:p>
    <w:p>
      <w:pPr>
        <w:pStyle w:val="ListBullet"/>
        <w:spacing w:after="60" w:line="276" w:lineRule="auto"/>
      </w:pPr>
      <w:r>
        <w:rPr>
          <w:rFonts w:ascii="Calibri" w:hAnsi="Calibri"/>
          <w:b/>
          <w:color w:val="0F172A"/>
          <w:sz w:val="20"/>
        </w:rPr>
        <w:t>Regulatory Compliance:</w:t>
      </w:r>
      <w:r>
        <w:rPr>
          <w:rFonts w:ascii="Calibri" w:hAnsi="Calibri"/>
          <w:color w:val="1E293B"/>
          <w:sz w:val="20"/>
        </w:rPr>
        <w:t xml:space="preserve"> Mitigated through native India DPDPA and DPIIT verification integrations</w:t>
      </w:r>
    </w:p>
    <w:p>
      <w:pPr>
        <w:spacing w:after="200"/>
      </w:pPr>
    </w:p>
    <w:p>
      <w:pPr>
        <w:pStyle w:val="Heading1"/>
        <w:spacing w:before="360" w:after="120"/>
      </w:pPr>
      <w:r>
        <w:rPr>
          <w:rFonts w:ascii="Calibri" w:hAnsi="Calibri"/>
          <w:b/>
          <w:color w:val="0F172A"/>
          <w:sz w:val="28"/>
        </w:rPr>
        <w:t>SECTION 3.0 — COMPETITOR ANALYSIS MATRIX</w:t>
      </w:r>
    </w:p>
    <w:p>
      <w:pPr>
        <w:pStyle w:val="Heading2"/>
        <w:spacing w:before="200" w:after="80"/>
      </w:pPr>
      <w:r>
        <w:rPr>
          <w:rFonts w:ascii="Calibri" w:hAnsi="Calibri"/>
          <w:color w:val="4F46E5"/>
        </w:rPr>
        <w:t>Direct Competitors</w:t>
      </w:r>
    </w:p>
    <w:p>
      <w:pPr>
        <w:pStyle w:val="ListBullet"/>
        <w:spacing w:after="60" w:line="276" w:lineRule="auto"/>
      </w:pPr>
      <w:r>
        <w:rPr>
          <w:rFonts w:ascii="Calibri" w:hAnsi="Calibri"/>
          <w:color w:val="1E293B"/>
          <w:sz w:val="20"/>
        </w:rPr>
        <w:t>Kitman Labs</w:t>
      </w:r>
    </w:p>
    <w:p>
      <w:pPr>
        <w:pStyle w:val="ListBullet"/>
        <w:spacing w:after="60" w:line="276" w:lineRule="auto"/>
      </w:pPr>
      <w:r>
        <w:rPr>
          <w:rFonts w:ascii="Calibri" w:hAnsi="Calibri"/>
          <w:color w:val="1E293B"/>
          <w:sz w:val="20"/>
        </w:rPr>
        <w:t>Catapult Form</w:t>
      </w:r>
    </w:p>
    <w:p>
      <w:pPr>
        <w:pStyle w:val="ListBullet"/>
        <w:spacing w:after="60" w:line="276" w:lineRule="auto"/>
      </w:pPr>
      <w:r>
        <w:rPr>
          <w:rFonts w:ascii="Calibri" w:hAnsi="Calibri"/>
          <w:color w:val="1E293B"/>
          <w:sz w:val="20"/>
        </w:rPr>
        <w:t>Orreco</w:t>
      </w:r>
    </w:p>
    <w:p>
      <w:pPr>
        <w:pStyle w:val="ListBullet"/>
        <w:spacing w:after="60" w:line="276" w:lineRule="auto"/>
      </w:pPr>
      <w:r>
        <w:rPr>
          <w:rFonts w:ascii="Calibri" w:hAnsi="Calibri"/>
          <w:color w:val="1E293B"/>
          <w:sz w:val="20"/>
        </w:rPr>
        <w:t>Sparta Science</w:t>
      </w:r>
    </w:p>
    <w:p>
      <w:pPr>
        <w:pStyle w:val="ListBullet"/>
        <w:spacing w:after="60" w:line="276" w:lineRule="auto"/>
      </w:pPr>
      <w:r>
        <w:rPr>
          <w:rFonts w:ascii="Calibri" w:hAnsi="Calibri"/>
          <w:color w:val="1E293B"/>
          <w:sz w:val="20"/>
        </w:rPr>
        <w:t>Smartabase</w:t>
      </w:r>
    </w:p>
    <w:p>
      <w:pPr>
        <w:pStyle w:val="Heading2"/>
        <w:spacing w:before="200" w:after="80"/>
      </w:pPr>
      <w:r>
        <w:rPr>
          <w:rFonts w:ascii="Calibri" w:hAnsi="Calibri"/>
          <w:color w:val="4F46E5"/>
        </w:rPr>
        <w:t>Indirect Competitors</w:t>
      </w:r>
    </w:p>
    <w:p>
      <w:pPr>
        <w:pStyle w:val="ListBullet"/>
        <w:spacing w:after="60" w:line="276" w:lineRule="auto"/>
      </w:pPr>
      <w:r>
        <w:rPr>
          <w:rFonts w:ascii="Calibri" w:hAnsi="Calibri"/>
          <w:color w:val="1E293B"/>
          <w:sz w:val="20"/>
        </w:rPr>
        <w:t>IBM Watson Health</w:t>
      </w:r>
    </w:p>
    <w:p>
      <w:pPr>
        <w:pStyle w:val="ListBullet"/>
        <w:spacing w:after="60" w:line="276" w:lineRule="auto"/>
      </w:pPr>
      <w:r>
        <w:rPr>
          <w:rFonts w:ascii="Calibri" w:hAnsi="Calibri"/>
          <w:color w:val="1E293B"/>
          <w:sz w:val="20"/>
        </w:rPr>
        <w:t>SAP Sports One</w:t>
      </w:r>
    </w:p>
    <w:p>
      <w:pPr>
        <w:pStyle w:val="ListBullet"/>
        <w:spacing w:after="60" w:line="276" w:lineRule="auto"/>
      </w:pPr>
      <w:r>
        <w:rPr>
          <w:rFonts w:ascii="Calibri" w:hAnsi="Calibri"/>
          <w:color w:val="1E293B"/>
          <w:sz w:val="20"/>
        </w:rPr>
        <w:t>Google Cloud AI for Sports</w:t>
      </w:r>
    </w:p>
    <w:p>
      <w:pPr>
        <w:pStyle w:val="ListBullet"/>
        <w:spacing w:after="60" w:line="276" w:lineRule="auto"/>
      </w:pPr>
      <w:r>
        <w:rPr>
          <w:rFonts w:ascii="Calibri" w:hAnsi="Calibri"/>
          <w:color w:val="1E293B"/>
          <w:sz w:val="20"/>
        </w:rPr>
        <w:t>Traditional Sports Medicine Consulting Firms</w:t>
      </w:r>
    </w:p>
    <w:p>
      <w:pPr>
        <w:pStyle w:val="ListBullet"/>
        <w:spacing w:after="60" w:line="276" w:lineRule="auto"/>
      </w:pPr>
      <w:r>
        <w:rPr>
          <w:rFonts w:ascii="Calibri" w:hAnsi="Calibri"/>
          <w:color w:val="1E293B"/>
          <w:sz w:val="20"/>
        </w:rPr>
        <w:t>General Business Intelligence Platforms (e.g., Tableau, PowerBI)</w:t>
      </w:r>
    </w:p>
    <w:p>
      <w:pPr>
        <w:pStyle w:val="Heading2"/>
        <w:spacing w:before="200" w:after="80"/>
      </w:pPr>
      <w:r>
        <w:rPr>
          <w:rFonts w:ascii="Calibri" w:hAnsi="Calibri"/>
          <w:color w:val="4F46E5"/>
        </w:rPr>
        <w:t>Competitive Advantages</w:t>
      </w:r>
    </w:p>
    <w:p>
      <w:pPr>
        <w:pStyle w:val="ListBullet"/>
        <w:spacing w:after="60" w:line="276" w:lineRule="auto"/>
      </w:pPr>
      <w:r>
        <w:rPr>
          <w:rFonts w:ascii="Calibri" w:hAnsi="Calibri"/>
          <w:color w:val="1E293B"/>
          <w:sz w:val="20"/>
        </w:rPr>
        <w:t>Proprietary 200M+ hour multi‑modal athlete data lake</w:t>
      </w:r>
    </w:p>
    <w:p>
      <w:pPr>
        <w:pStyle w:val="ListBullet"/>
        <w:spacing w:after="60" w:line="276" w:lineRule="auto"/>
      </w:pPr>
      <w:r>
        <w:rPr>
          <w:rFonts w:ascii="Calibri" w:hAnsi="Calibri"/>
          <w:color w:val="1E293B"/>
          <w:sz w:val="20"/>
        </w:rPr>
        <w:t>Patented deep‑learning injury‑prediction algorithms with 7‑day horizon</w:t>
      </w:r>
    </w:p>
    <w:p>
      <w:pPr>
        <w:pStyle w:val="ListBullet"/>
        <w:spacing w:after="60" w:line="276" w:lineRule="auto"/>
      </w:pPr>
      <w:r>
        <w:rPr>
          <w:rFonts w:ascii="Calibri" w:hAnsi="Calibri"/>
          <w:color w:val="1E293B"/>
          <w:sz w:val="20"/>
        </w:rPr>
        <w:t>Network effects from club‑level data contributions</w:t>
      </w:r>
    </w:p>
    <w:p>
      <w:pPr>
        <w:pStyle w:val="ListBullet"/>
        <w:spacing w:after="60" w:line="276" w:lineRule="auto"/>
      </w:pPr>
      <w:r>
        <w:rPr>
          <w:rFonts w:ascii="Calibri" w:hAnsi="Calibri"/>
          <w:color w:val="1E293B"/>
          <w:sz w:val="20"/>
        </w:rPr>
        <w:t>Plug‑and‑play universal API covering any wearable, EHR, video source</w:t>
      </w:r>
    </w:p>
    <w:p>
      <w:pPr>
        <w:pStyle w:val="ListBullet"/>
        <w:spacing w:after="60" w:line="276" w:lineRule="auto"/>
      </w:pPr>
      <w:r>
        <w:rPr>
          <w:rFonts w:ascii="Calibri" w:hAnsi="Calibri"/>
          <w:color w:val="1E293B"/>
          <w:sz w:val="20"/>
        </w:rPr>
        <w:t>Regulatory‑grade HIPAA, GDPR, CCPA compliance and SOC 2/ISO 27001 certifications</w:t>
      </w:r>
    </w:p>
    <w:p>
      <w:pPr>
        <w:pStyle w:val="ListBullet"/>
        <w:spacing w:after="60" w:line="276" w:lineRule="auto"/>
      </w:pPr>
      <w:r>
        <w:rPr>
          <w:rFonts w:ascii="Calibri" w:hAnsi="Calibri"/>
          <w:color w:val="1E293B"/>
          <w:sz w:val="20"/>
        </w:rPr>
        <w:t>Scalable SaaS architecture with built‑in model retraining pipeline</w:t>
      </w:r>
    </w:p>
    <w:p>
      <w:pPr>
        <w:pStyle w:val="Heading2"/>
        <w:spacing w:before="200" w:after="80"/>
      </w:pPr>
      <w:r>
        <w:rPr>
          <w:rFonts w:ascii="Calibri" w:hAnsi="Calibri"/>
          <w:color w:val="4F46E5"/>
        </w:rPr>
        <w:t>Market Positioning</w:t>
      </w:r>
    </w:p>
    <w:p>
      <w:pPr>
        <w:spacing w:after="120" w:line="276" w:lineRule="auto"/>
      </w:pPr>
      <w:r>
        <w:rPr>
          <w:rFonts w:ascii="Calibri" w:hAnsi="Calibri"/>
          <w:color w:val="1E293B"/>
          <w:sz w:val="20"/>
        </w:rPr>
        <w:t>Zone7 occupies the high‑integration, long‑forecast quadrant – delivering enterprise‑grade AI risk analytics that ingest any wearable/EHR source and predict non‑contact injuries up to 7 days ahead, a space currently underserved by incumbents.</w:t>
      </w:r>
    </w:p>
    <w:p>
      <w:pPr>
        <w:pStyle w:val="Heading2"/>
        <w:spacing w:before="200" w:after="80"/>
      </w:pPr>
      <w:r>
        <w:rPr>
          <w:rFonts w:ascii="Calibri" w:hAnsi="Calibri"/>
          <w:color w:val="4F46E5"/>
        </w:rPr>
        <w:t>Whitespace Opportunity</w:t>
      </w:r>
    </w:p>
    <w:p>
      <w:pPr>
        <w:spacing w:after="120" w:line="276" w:lineRule="auto"/>
      </w:pPr>
      <w:r>
        <w:rPr>
          <w:rFonts w:ascii="Calibri" w:hAnsi="Calibri"/>
          <w:color w:val="1E293B"/>
          <w:sz w:val="20"/>
        </w:rPr>
        <w:t>The top‑right quadrant (high data integration + long predictive horizon) is largely empty; competitors either focus on narrow data sources or short‑term forecasts. Zone7 can capture elite clubs seeking a unified platform that both consolidates fragmented data and provides actionable long‑lead injury forecasts.</w:t>
      </w:r>
    </w:p>
    <w:p>
      <w:pPr>
        <w:pStyle w:val="Heading2"/>
        <w:spacing w:before="200" w:after="80"/>
      </w:pPr>
      <w:r>
        <w:rPr>
          <w:rFonts w:ascii="Calibri" w:hAnsi="Calibri"/>
          <w:color w:val="4F46E5"/>
        </w:rPr>
        <w:t>Positioning Axes</w:t>
      </w:r>
    </w:p>
    <w:p>
      <w:pPr>
        <w:pStyle w:val="Heading3"/>
        <w:spacing w:before="200" w:after="80"/>
      </w:pPr>
      <w:r>
        <w:rPr>
          <w:rFonts w:ascii="Calibri" w:hAnsi="Calibri"/>
          <w:color w:val="0F172A"/>
        </w:rPr>
        <w:t>X Axis</w:t>
      </w:r>
    </w:p>
    <w:p>
      <w:pPr>
        <w:spacing w:after="120" w:line="276" w:lineRule="auto"/>
      </w:pPr>
      <w:r>
        <w:rPr>
          <w:rFonts w:ascii="Calibri" w:hAnsi="Calibri"/>
          <w:color w:val="1E293B"/>
          <w:sz w:val="20"/>
        </w:rPr>
        <w:t>Breadth of Data Integration (Low → High)</w:t>
      </w:r>
    </w:p>
    <w:p>
      <w:pPr>
        <w:pStyle w:val="Heading3"/>
        <w:spacing w:before="200" w:after="80"/>
      </w:pPr>
      <w:r>
        <w:rPr>
          <w:rFonts w:ascii="Calibri" w:hAnsi="Calibri"/>
          <w:color w:val="0F172A"/>
        </w:rPr>
        <w:t>Y Axis</w:t>
      </w:r>
    </w:p>
    <w:p>
      <w:pPr>
        <w:spacing w:after="120" w:line="276" w:lineRule="auto"/>
      </w:pPr>
      <w:r>
        <w:rPr>
          <w:rFonts w:ascii="Calibri" w:hAnsi="Calibri"/>
          <w:color w:val="1E293B"/>
          <w:sz w:val="20"/>
        </w:rPr>
        <w:t>Predictive Forecast Horizon (Days) (Short → Long)</w:t>
      </w:r>
    </w:p>
    <w:p>
      <w:pPr>
        <w:pStyle w:val="Heading2"/>
        <w:spacing w:before="200" w:after="80"/>
      </w:pPr>
      <w:r>
        <w:rPr>
          <w:rFonts w:ascii="Calibri" w:hAnsi="Calibri"/>
          <w:color w:val="4F46E5"/>
        </w:rPr>
        <w:t>Market Map Quadrants</w:t>
      </w:r>
    </w:p>
    <w:p>
      <w:pPr>
        <w:pStyle w:val="Heading3"/>
        <w:spacing w:before="200" w:after="80"/>
      </w:pPr>
      <w:r>
        <w:rPr>
          <w:rFonts w:ascii="Calibri" w:hAnsi="Calibri"/>
          <w:color w:val="0F172A"/>
        </w:rPr>
        <w:t>Low Integration/Short Forecast</w:t>
      </w:r>
    </w:p>
    <w:p>
      <w:pPr>
        <w:pStyle w:val="ListBullet"/>
        <w:spacing w:after="60" w:line="276" w:lineRule="auto"/>
      </w:pPr>
      <w:r>
        <w:rPr>
          <w:rFonts w:ascii="Calibri" w:hAnsi="Calibri"/>
          <w:color w:val="1E293B"/>
          <w:sz w:val="20"/>
        </w:rPr>
        <w:t>Sparta Science</w:t>
      </w:r>
    </w:p>
    <w:p>
      <w:pPr>
        <w:pStyle w:val="ListBullet"/>
        <w:spacing w:after="60" w:line="276" w:lineRule="auto"/>
      </w:pPr>
      <w:r>
        <w:rPr>
          <w:rFonts w:ascii="Calibri" w:hAnsi="Calibri"/>
          <w:color w:val="1E293B"/>
          <w:sz w:val="20"/>
        </w:rPr>
        <w:t>Orreco</w:t>
      </w:r>
    </w:p>
    <w:p>
      <w:pPr>
        <w:pStyle w:val="Heading3"/>
        <w:spacing w:before="200" w:after="80"/>
      </w:pPr>
      <w:r>
        <w:rPr>
          <w:rFonts w:ascii="Calibri" w:hAnsi="Calibri"/>
          <w:color w:val="0F172A"/>
        </w:rPr>
        <w:t>Low Integration/Long Forecast</w:t>
      </w:r>
    </w:p>
    <w:p>
      <w:pPr>
        <w:pStyle w:val="Heading3"/>
        <w:spacing w:before="200" w:after="80"/>
      </w:pPr>
      <w:r>
        <w:rPr>
          <w:rFonts w:ascii="Calibri" w:hAnsi="Calibri"/>
          <w:color w:val="0F172A"/>
        </w:rPr>
        <w:t>High Integration/Short Forecast</w:t>
      </w:r>
    </w:p>
    <w:p>
      <w:pPr>
        <w:pStyle w:val="ListBullet"/>
        <w:spacing w:after="60" w:line="276" w:lineRule="auto"/>
      </w:pPr>
      <w:r>
        <w:rPr>
          <w:rFonts w:ascii="Calibri" w:hAnsi="Calibri"/>
          <w:color w:val="1E293B"/>
          <w:sz w:val="20"/>
        </w:rPr>
        <w:t>Catapult Form</w:t>
      </w:r>
    </w:p>
    <w:p>
      <w:pPr>
        <w:pStyle w:val="ListBullet"/>
        <w:spacing w:after="60" w:line="276" w:lineRule="auto"/>
      </w:pPr>
      <w:r>
        <w:rPr>
          <w:rFonts w:ascii="Calibri" w:hAnsi="Calibri"/>
          <w:color w:val="1E293B"/>
          <w:sz w:val="20"/>
        </w:rPr>
        <w:t>Smartabase</w:t>
      </w:r>
    </w:p>
    <w:p>
      <w:pPr>
        <w:pStyle w:val="ListBullet"/>
        <w:spacing w:after="60" w:line="276" w:lineRule="auto"/>
      </w:pPr>
      <w:r>
        <w:rPr>
          <w:rFonts w:ascii="Calibri" w:hAnsi="Calibri"/>
          <w:color w:val="1E293B"/>
          <w:sz w:val="20"/>
        </w:rPr>
        <w:t>Kitman Labs</w:t>
      </w:r>
    </w:p>
    <w:p>
      <w:pPr>
        <w:pStyle w:val="Heading3"/>
        <w:spacing w:before="200" w:after="80"/>
      </w:pPr>
      <w:r>
        <w:rPr>
          <w:rFonts w:ascii="Calibri" w:hAnsi="Calibri"/>
          <w:color w:val="0F172A"/>
        </w:rPr>
        <w:t>High Integration/Long Forecast</w:t>
      </w:r>
    </w:p>
    <w:p>
      <w:pPr>
        <w:spacing w:after="200"/>
      </w:pPr>
    </w:p>
    <w:p>
      <w:pPr>
        <w:pStyle w:val="Heading1"/>
        <w:spacing w:before="360" w:after="120"/>
      </w:pPr>
      <w:r>
        <w:rPr>
          <w:rFonts w:ascii="Calibri" w:hAnsi="Calibri"/>
          <w:b/>
          <w:color w:val="0F172A"/>
          <w:sz w:val="28"/>
        </w:rPr>
        <w:t>SECTION 4.0 — ESG &amp; SUSTAINABILITY RECOMMENDATIONS</w:t>
      </w:r>
    </w:p>
    <w:p>
      <w:pPr>
        <w:pStyle w:val="Heading2"/>
        <w:spacing w:before="200" w:after="80"/>
      </w:pPr>
      <w:r>
        <w:rPr>
          <w:rFonts w:ascii="Calibri" w:hAnsi="Calibri"/>
          <w:color w:val="4F46E5"/>
        </w:rPr>
        <w:t>Environmental Impact Metrics</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Data Center Energy Kwh Per Year</w:t>
            </w:r>
          </w:p>
        </w:tc>
        <w:tc>
          <w:tcPr>
            <w:tcW w:type="dxa" w:w="5760"/>
            <w:shd w:fill="F8FAFC"/>
            <w:tcMar>
              <w:top w:w="80" w:type="dxa"/>
              <w:bottom w:w="80" w:type="dxa"/>
              <w:left w:w="120" w:type="dxa"/>
              <w:right w:w="120" w:type="dxa"/>
            </w:tcMar>
          </w:tcPr>
          <w:p>
            <w:r>
              <w:rPr>
                <w:rFonts w:ascii="Calibri" w:hAnsi="Calibri"/>
                <w:color w:val="1E293B"/>
                <w:sz w:val="19"/>
              </w:rPr>
              <w:t>38,500 kWh / yr (Tier-3 Hyperscale Cloud)</w:t>
            </w:r>
          </w:p>
        </w:tc>
      </w:tr>
      <w:tr>
        <w:tc>
          <w:tcPr>
            <w:tcW w:type="dxa" w:w="3600"/>
            <w:shd w:fill="FFFFFF"/>
            <w:tcMar>
              <w:top w:w="80" w:type="dxa"/>
              <w:bottom w:w="80" w:type="dxa"/>
              <w:left w:w="120" w:type="dxa"/>
              <w:right w:w="120" w:type="dxa"/>
            </w:tcMar>
          </w:tcPr>
          <w:p>
            <w:r>
              <w:rPr>
                <w:rFonts w:ascii="Calibri" w:hAnsi="Calibri"/>
                <w:b/>
                <w:color w:val="0F172A"/>
                <w:sz w:val="19"/>
              </w:rPr>
              <w:t>Average Server Pue</w:t>
            </w:r>
          </w:p>
        </w:tc>
        <w:tc>
          <w:tcPr>
            <w:tcW w:type="dxa" w:w="5760"/>
            <w:shd w:fill="FFFFFF"/>
            <w:tcMar>
              <w:top w:w="80" w:type="dxa"/>
              <w:bottom w:w="80" w:type="dxa"/>
              <w:left w:w="120" w:type="dxa"/>
              <w:right w:w="120" w:type="dxa"/>
            </w:tcMar>
          </w:tcPr>
          <w:p>
            <w:r>
              <w:rPr>
                <w:rFonts w:ascii="Calibri" w:hAnsi="Calibri"/>
                <w:color w:val="1E293B"/>
                <w:sz w:val="19"/>
              </w:rPr>
              <w:t>1.14 PUE (High-Efficiency Low-Carbon Target)</w:t>
            </w:r>
          </w:p>
        </w:tc>
      </w:tr>
      <w:tr>
        <w:tc>
          <w:tcPr>
            <w:tcW w:type="dxa" w:w="3600"/>
            <w:shd w:fill="F8FAFC"/>
            <w:tcMar>
              <w:top w:w="80" w:type="dxa"/>
              <w:bottom w:w="80" w:type="dxa"/>
              <w:left w:w="120" w:type="dxa"/>
              <w:right w:w="120" w:type="dxa"/>
            </w:tcMar>
          </w:tcPr>
          <w:p>
            <w:r>
              <w:rPr>
                <w:rFonts w:ascii="Calibri" w:hAnsi="Calibri"/>
                <w:b/>
                <w:color w:val="0F172A"/>
                <w:sz w:val="19"/>
              </w:rPr>
              <w:t>Renewable Energy Percentage</w:t>
            </w:r>
          </w:p>
        </w:tc>
        <w:tc>
          <w:tcPr>
            <w:tcW w:type="dxa" w:w="5760"/>
            <w:shd w:fill="F8FAFC"/>
            <w:tcMar>
              <w:top w:w="80" w:type="dxa"/>
              <w:bottom w:w="80" w:type="dxa"/>
              <w:left w:w="120" w:type="dxa"/>
              <w:right w:w="120" w:type="dxa"/>
            </w:tcMar>
          </w:tcPr>
          <w:p>
            <w:r>
              <w:rPr>
                <w:rFonts w:ascii="Calibri" w:hAnsi="Calibri"/>
                <w:color w:val="1E293B"/>
                <w:sz w:val="19"/>
              </w:rPr>
              <w:t>85% Renewable Cloud Region Matching</w:t>
            </w:r>
          </w:p>
        </w:tc>
      </w:tr>
      <w:tr>
        <w:tc>
          <w:tcPr>
            <w:tcW w:type="dxa" w:w="3600"/>
            <w:shd w:fill="FFFFFF"/>
            <w:tcMar>
              <w:top w:w="80" w:type="dxa"/>
              <w:bottom w:w="80" w:type="dxa"/>
              <w:left w:w="120" w:type="dxa"/>
              <w:right w:w="120" w:type="dxa"/>
            </w:tcMar>
          </w:tcPr>
          <w:p>
            <w:r>
              <w:rPr>
                <w:rFonts w:ascii="Calibri" w:hAnsi="Calibri"/>
                <w:b/>
                <w:color w:val="0F172A"/>
                <w:sz w:val="19"/>
              </w:rPr>
              <w:t>Device Lifecycle Emissions Kgco2E Per Unit</w:t>
            </w:r>
          </w:p>
        </w:tc>
        <w:tc>
          <w:tcPr>
            <w:tcW w:type="dxa" w:w="5760"/>
            <w:shd w:fill="FFFFFF"/>
            <w:tcMar>
              <w:top w:w="80" w:type="dxa"/>
              <w:bottom w:w="80" w:type="dxa"/>
              <w:left w:w="120" w:type="dxa"/>
              <w:right w:w="120" w:type="dxa"/>
            </w:tcMar>
          </w:tcPr>
          <w:p>
            <w:r>
              <w:rPr>
                <w:rFonts w:ascii="Calibri" w:hAnsi="Calibri"/>
                <w:color w:val="1E293B"/>
                <w:sz w:val="19"/>
              </w:rPr>
              <w:t>14.2 kg CO2e / unit (Extended Hardware Lifecycle)</w:t>
            </w:r>
          </w:p>
        </w:tc>
      </w:tr>
      <w:tr>
        <w:tc>
          <w:tcPr>
            <w:tcW w:type="dxa" w:w="3600"/>
            <w:shd w:fill="F8FAFC"/>
            <w:tcMar>
              <w:top w:w="80" w:type="dxa"/>
              <w:bottom w:w="80" w:type="dxa"/>
              <w:left w:w="120" w:type="dxa"/>
              <w:right w:w="120" w:type="dxa"/>
            </w:tcMar>
          </w:tcPr>
          <w:p>
            <w:r>
              <w:rPr>
                <w:rFonts w:ascii="Calibri" w:hAnsi="Calibri"/>
                <w:b/>
                <w:color w:val="0F172A"/>
                <w:sz w:val="19"/>
              </w:rPr>
              <w:t>E Waste Recycling Rate Percentage</w:t>
            </w:r>
          </w:p>
        </w:tc>
        <w:tc>
          <w:tcPr>
            <w:tcW w:type="dxa" w:w="5760"/>
            <w:shd w:fill="F8FAFC"/>
            <w:tcMar>
              <w:top w:w="80" w:type="dxa"/>
              <w:bottom w:w="80" w:type="dxa"/>
              <w:left w:w="120" w:type="dxa"/>
              <w:right w:w="120" w:type="dxa"/>
            </w:tcMar>
          </w:tcPr>
          <w:p>
            <w:r>
              <w:rPr>
                <w:rFonts w:ascii="Calibri" w:hAnsi="Calibri"/>
                <w:color w:val="1E293B"/>
                <w:sz w:val="19"/>
              </w:rPr>
              <w:t>95% Certified WEEE / Responsible Disposal</w:t>
            </w:r>
          </w:p>
        </w:tc>
      </w:tr>
      <w:tr>
        <w:tc>
          <w:tcPr>
            <w:tcW w:type="dxa" w:w="3600"/>
            <w:shd w:fill="FFFFFF"/>
            <w:tcMar>
              <w:top w:w="80" w:type="dxa"/>
              <w:bottom w:w="80" w:type="dxa"/>
              <w:left w:w="120" w:type="dxa"/>
              <w:right w:w="120" w:type="dxa"/>
            </w:tcMar>
          </w:tcPr>
          <w:p>
            <w:r>
              <w:rPr>
                <w:rFonts w:ascii="Calibri" w:hAnsi="Calibri"/>
                <w:b/>
                <w:color w:val="0F172A"/>
                <w:sz w:val="19"/>
              </w:rPr>
              <w:t>Travel Emissions Tco2E Per Employee Per Year</w:t>
            </w:r>
          </w:p>
        </w:tc>
        <w:tc>
          <w:tcPr>
            <w:tcW w:type="dxa" w:w="5760"/>
            <w:shd w:fill="FFFFFF"/>
            <w:tcMar>
              <w:top w:w="80" w:type="dxa"/>
              <w:bottom w:w="80" w:type="dxa"/>
              <w:left w:w="120" w:type="dxa"/>
              <w:right w:w="120" w:type="dxa"/>
            </w:tcMar>
          </w:tcPr>
          <w:p>
            <w:r>
              <w:rPr>
                <w:rFonts w:ascii="Calibri" w:hAnsi="Calibri"/>
                <w:color w:val="1E293B"/>
                <w:sz w:val="19"/>
              </w:rPr>
              <w:t>0.85 tCO2e / FTE / yr (Remote-First Hybrid Model)</w:t>
            </w:r>
          </w:p>
        </w:tc>
      </w:tr>
      <w:tr>
        <w:tc>
          <w:tcPr>
            <w:tcW w:type="dxa" w:w="3600"/>
            <w:shd w:fill="F8FAFC"/>
            <w:tcMar>
              <w:top w:w="80" w:type="dxa"/>
              <w:bottom w:w="80" w:type="dxa"/>
              <w:left w:w="120" w:type="dxa"/>
              <w:right w:w="120" w:type="dxa"/>
            </w:tcMar>
          </w:tcPr>
          <w:p>
            <w:r>
              <w:rPr>
                <w:rFonts w:ascii="Calibri" w:hAnsi="Calibri"/>
                <w:b/>
                <w:color w:val="0F172A"/>
                <w:sz w:val="19"/>
              </w:rPr>
              <w:t>Water Usage Cubic Meters Per Year</w:t>
            </w:r>
          </w:p>
        </w:tc>
        <w:tc>
          <w:tcPr>
            <w:tcW w:type="dxa" w:w="5760"/>
            <w:shd w:fill="F8FAFC"/>
            <w:tcMar>
              <w:top w:w="80" w:type="dxa"/>
              <w:bottom w:w="80" w:type="dxa"/>
              <w:left w:w="120" w:type="dxa"/>
              <w:right w:w="120" w:type="dxa"/>
            </w:tcMar>
          </w:tcPr>
          <w:p>
            <w:r>
              <w:rPr>
                <w:rFonts w:ascii="Calibri" w:hAnsi="Calibri"/>
                <w:color w:val="1E293B"/>
                <w:sz w:val="19"/>
              </w:rPr>
              <w:t>Zero Direct Water Consumption (Air-Cooled Cloud)</w:t>
            </w:r>
          </w:p>
        </w:tc>
      </w:tr>
      <w:tr>
        <w:tc>
          <w:tcPr>
            <w:tcW w:type="dxa" w:w="3600"/>
            <w:shd w:fill="FFFFFF"/>
            <w:tcMar>
              <w:top w:w="80" w:type="dxa"/>
              <w:bottom w:w="80" w:type="dxa"/>
              <w:left w:w="120" w:type="dxa"/>
              <w:right w:w="120" w:type="dxa"/>
            </w:tcMar>
          </w:tcPr>
          <w:p>
            <w:r>
              <w:rPr>
                <w:rFonts w:ascii="Calibri" w:hAnsi="Calibri"/>
                <w:b/>
                <w:color w:val="0F172A"/>
                <w:sz w:val="19"/>
              </w:rPr>
              <w:t>Scope1 2 3 Emissions Tco2E</w:t>
            </w:r>
          </w:p>
        </w:tc>
        <w:tc>
          <w:tcPr>
            <w:tcW w:type="dxa" w:w="5760"/>
            <w:shd w:fill="FFFFFF"/>
            <w:tcMar>
              <w:top w:w="80" w:type="dxa"/>
              <w:bottom w:w="80" w:type="dxa"/>
              <w:left w:w="120" w:type="dxa"/>
              <w:right w:w="120" w:type="dxa"/>
            </w:tcMar>
          </w:tcPr>
          <w:p>
            <w:r>
              <w:rPr>
                <w:rFonts w:ascii="Calibri" w:hAnsi="Calibri"/>
                <w:color w:val="1E293B"/>
                <w:sz w:val="19"/>
              </w:rPr>
              <w:t>12.4 tCO2e Total Annual Footprint (Net-Zero Commitment Target)</w:t>
            </w:r>
          </w:p>
        </w:tc>
      </w:tr>
    </w:tbl>
    <w:p>
      <w:pPr>
        <w:spacing w:after="160"/>
      </w:pPr>
    </w:p>
    <w:p>
      <w:pPr>
        <w:pStyle w:val="Heading2"/>
        <w:spacing w:before="200" w:after="80"/>
      </w:pPr>
      <w:r>
        <w:rPr>
          <w:rFonts w:ascii="Calibri" w:hAnsi="Calibri"/>
          <w:color w:val="4F46E5"/>
        </w:rPr>
        <w:t>Social Governance Frameworks</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Human Rights Policy</w:t>
            </w:r>
          </w:p>
        </w:tc>
        <w:tc>
          <w:tcPr>
            <w:tcW w:type="dxa" w:w="5760"/>
            <w:shd w:fill="F8FAFC"/>
            <w:tcMar>
              <w:top w:w="80" w:type="dxa"/>
              <w:bottom w:w="80" w:type="dxa"/>
              <w:left w:w="120" w:type="dxa"/>
              <w:right w:w="120" w:type="dxa"/>
            </w:tcMar>
          </w:tcPr>
          <w:p>
            <w:r>
              <w:rPr>
                <w:rFonts w:ascii="Calibri" w:hAnsi="Calibri"/>
                <w:color w:val="1E293B"/>
                <w:sz w:val="19"/>
              </w:rPr>
              <w:t>UN Guiding Principles on Business and Human Rights</w:t>
            </w:r>
          </w:p>
        </w:tc>
      </w:tr>
      <w:tr>
        <w:tc>
          <w:tcPr>
            <w:tcW w:type="dxa" w:w="3600"/>
            <w:shd w:fill="FFFFFF"/>
            <w:tcMar>
              <w:top w:w="80" w:type="dxa"/>
              <w:bottom w:w="80" w:type="dxa"/>
              <w:left w:w="120" w:type="dxa"/>
              <w:right w:w="120" w:type="dxa"/>
            </w:tcMar>
          </w:tcPr>
          <w:p>
            <w:r>
              <w:rPr>
                <w:rFonts w:ascii="Calibri" w:hAnsi="Calibri"/>
                <w:b/>
                <w:color w:val="0F172A"/>
                <w:sz w:val="19"/>
              </w:rPr>
              <w:t>Labor Practices</w:t>
            </w:r>
          </w:p>
        </w:tc>
        <w:tc>
          <w:tcPr>
            <w:tcW w:type="dxa" w:w="5760"/>
            <w:shd w:fill="FFFFFF"/>
            <w:tcMar>
              <w:top w:w="80" w:type="dxa"/>
              <w:bottom w:w="80" w:type="dxa"/>
              <w:left w:w="120" w:type="dxa"/>
              <w:right w:w="120" w:type="dxa"/>
            </w:tcMar>
          </w:tcPr>
          <w:p>
            <w:r>
              <w:rPr>
                <w:rFonts w:ascii="Calibri" w:hAnsi="Calibri"/>
                <w:color w:val="1E293B"/>
                <w:sz w:val="19"/>
              </w:rPr>
              <w:t>ILO Core Conventions</w:t>
            </w:r>
          </w:p>
        </w:tc>
      </w:tr>
      <w:tr>
        <w:tc>
          <w:tcPr>
            <w:tcW w:type="dxa" w:w="3600"/>
            <w:shd w:fill="F8FAFC"/>
            <w:tcMar>
              <w:top w:w="80" w:type="dxa"/>
              <w:bottom w:w="80" w:type="dxa"/>
              <w:left w:w="120" w:type="dxa"/>
              <w:right w:w="120" w:type="dxa"/>
            </w:tcMar>
          </w:tcPr>
          <w:p>
            <w:r>
              <w:rPr>
                <w:rFonts w:ascii="Calibri" w:hAnsi="Calibri"/>
                <w:b/>
                <w:color w:val="0F172A"/>
                <w:sz w:val="19"/>
              </w:rPr>
              <w:t>Diversity Inclusion</w:t>
            </w:r>
          </w:p>
        </w:tc>
        <w:tc>
          <w:tcPr>
            <w:tcW w:type="dxa" w:w="5760"/>
            <w:shd w:fill="F8FAFC"/>
            <w:tcMar>
              <w:top w:w="80" w:type="dxa"/>
              <w:bottom w:w="80" w:type="dxa"/>
              <w:left w:w="120" w:type="dxa"/>
              <w:right w:w="120" w:type="dxa"/>
            </w:tcMar>
          </w:tcPr>
          <w:p>
            <w:r>
              <w:rPr>
                <w:rFonts w:ascii="Calibri" w:hAnsi="Calibri"/>
                <w:color w:val="1E293B"/>
                <w:sz w:val="19"/>
              </w:rPr>
              <w:t>ISO 30415 and internal D&amp;I charter</w:t>
            </w:r>
          </w:p>
        </w:tc>
      </w:tr>
      <w:tr>
        <w:tc>
          <w:tcPr>
            <w:tcW w:type="dxa" w:w="3600"/>
            <w:shd w:fill="FFFFFF"/>
            <w:tcMar>
              <w:top w:w="80" w:type="dxa"/>
              <w:bottom w:w="80" w:type="dxa"/>
              <w:left w:w="120" w:type="dxa"/>
              <w:right w:w="120" w:type="dxa"/>
            </w:tcMar>
          </w:tcPr>
          <w:p>
            <w:r>
              <w:rPr>
                <w:rFonts w:ascii="Calibri" w:hAnsi="Calibri"/>
                <w:b/>
                <w:color w:val="0F172A"/>
                <w:sz w:val="19"/>
              </w:rPr>
              <w:t>Data Privacy</w:t>
            </w:r>
          </w:p>
        </w:tc>
        <w:tc>
          <w:tcPr>
            <w:tcW w:type="dxa" w:w="5760"/>
            <w:shd w:fill="FFFFFF"/>
            <w:tcMar>
              <w:top w:w="80" w:type="dxa"/>
              <w:bottom w:w="80" w:type="dxa"/>
              <w:left w:w="120" w:type="dxa"/>
              <w:right w:w="120" w:type="dxa"/>
            </w:tcMar>
          </w:tcPr>
          <w:p>
            <w:r>
              <w:rPr>
                <w:rFonts w:ascii="Calibri" w:hAnsi="Calibri"/>
                <w:color w:val="1E293B"/>
                <w:sz w:val="19"/>
              </w:rPr>
              <w:t>GDPR and CCPA compliance</w:t>
            </w:r>
          </w:p>
        </w:tc>
      </w:tr>
      <w:tr>
        <w:tc>
          <w:tcPr>
            <w:tcW w:type="dxa" w:w="3600"/>
            <w:shd w:fill="F8FAFC"/>
            <w:tcMar>
              <w:top w:w="80" w:type="dxa"/>
              <w:bottom w:w="80" w:type="dxa"/>
              <w:left w:w="120" w:type="dxa"/>
              <w:right w:w="120" w:type="dxa"/>
            </w:tcMar>
          </w:tcPr>
          <w:p>
            <w:r>
              <w:rPr>
                <w:rFonts w:ascii="Calibri" w:hAnsi="Calibri"/>
                <w:b/>
                <w:color w:val="0F172A"/>
                <w:sz w:val="19"/>
              </w:rPr>
              <w:t>Athlete Welfare</w:t>
            </w:r>
          </w:p>
        </w:tc>
        <w:tc>
          <w:tcPr>
            <w:tcW w:type="dxa" w:w="5760"/>
            <w:shd w:fill="F8FAFC"/>
            <w:tcMar>
              <w:top w:w="80" w:type="dxa"/>
              <w:bottom w:w="80" w:type="dxa"/>
              <w:left w:w="120" w:type="dxa"/>
              <w:right w:w="120" w:type="dxa"/>
            </w:tcMar>
          </w:tcPr>
          <w:p>
            <w:r>
              <w:rPr>
                <w:rFonts w:ascii="Calibri" w:hAnsi="Calibri"/>
                <w:color w:val="1E293B"/>
                <w:sz w:val="19"/>
              </w:rPr>
              <w:t>Proactive injury prevention ethics framework</w:t>
            </w:r>
          </w:p>
        </w:tc>
      </w:tr>
      <w:tr>
        <w:tc>
          <w:tcPr>
            <w:tcW w:type="dxa" w:w="3600"/>
            <w:shd w:fill="FFFFFF"/>
            <w:tcMar>
              <w:top w:w="80" w:type="dxa"/>
              <w:bottom w:w="80" w:type="dxa"/>
              <w:left w:w="120" w:type="dxa"/>
              <w:right w:w="120" w:type="dxa"/>
            </w:tcMar>
          </w:tcPr>
          <w:p>
            <w:r>
              <w:rPr>
                <w:rFonts w:ascii="Calibri" w:hAnsi="Calibri"/>
                <w:b/>
                <w:color w:val="0F172A"/>
                <w:sz w:val="19"/>
              </w:rPr>
              <w:t>Board Structure</w:t>
            </w:r>
          </w:p>
        </w:tc>
        <w:tc>
          <w:tcPr>
            <w:tcW w:type="dxa" w:w="5760"/>
            <w:shd w:fill="FFFFFF"/>
            <w:tcMar>
              <w:top w:w="80" w:type="dxa"/>
              <w:bottom w:w="80" w:type="dxa"/>
              <w:left w:w="120" w:type="dxa"/>
              <w:right w:w="120" w:type="dxa"/>
            </w:tcMar>
          </w:tcPr>
          <w:p>
            <w:r>
              <w:rPr>
                <w:rFonts w:ascii="Calibri" w:hAnsi="Calibri"/>
                <w:color w:val="1E293B"/>
                <w:sz w:val="19"/>
              </w:rPr>
              <w:t>Independent ESG committee with at least 30% gender diversity</w:t>
            </w:r>
          </w:p>
        </w:tc>
      </w:tr>
      <w:tr>
        <w:tc>
          <w:tcPr>
            <w:tcW w:type="dxa" w:w="3600"/>
            <w:shd w:fill="F8FAFC"/>
            <w:tcMar>
              <w:top w:w="80" w:type="dxa"/>
              <w:bottom w:w="80" w:type="dxa"/>
              <w:left w:w="120" w:type="dxa"/>
              <w:right w:w="120" w:type="dxa"/>
            </w:tcMar>
          </w:tcPr>
          <w:p>
            <w:r>
              <w:rPr>
                <w:rFonts w:ascii="Calibri" w:hAnsi="Calibri"/>
                <w:b/>
                <w:color w:val="0F172A"/>
                <w:sz w:val="19"/>
              </w:rPr>
              <w:t>Anti Corruption</w:t>
            </w:r>
          </w:p>
        </w:tc>
        <w:tc>
          <w:tcPr>
            <w:tcW w:type="dxa" w:w="5760"/>
            <w:shd w:fill="F8FAFC"/>
            <w:tcMar>
              <w:top w:w="80" w:type="dxa"/>
              <w:bottom w:w="80" w:type="dxa"/>
              <w:left w:w="120" w:type="dxa"/>
              <w:right w:w="120" w:type="dxa"/>
            </w:tcMar>
          </w:tcPr>
          <w:p>
            <w:r>
              <w:rPr>
                <w:rFonts w:ascii="Calibri" w:hAnsi="Calibri"/>
                <w:color w:val="1E293B"/>
                <w:sz w:val="19"/>
              </w:rPr>
              <w:t>ISO 37001 anti‑bribery management system</w:t>
            </w:r>
          </w:p>
        </w:tc>
      </w:tr>
    </w:tbl>
    <w:p>
      <w:pPr>
        <w:spacing w:after="160"/>
      </w:pPr>
    </w:p>
    <w:p>
      <w:pPr>
        <w:pStyle w:val="Heading2"/>
        <w:spacing w:before="200" w:after="80"/>
      </w:pPr>
      <w:r>
        <w:rPr>
          <w:rFonts w:ascii="Calibri" w:hAnsi="Calibri"/>
          <w:color w:val="4F46E5"/>
        </w:rPr>
        <w:t>Regulatory Esg Compliance</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Us Sec Climate Disclosure</w:t>
            </w:r>
          </w:p>
        </w:tc>
        <w:tc>
          <w:tcPr>
            <w:tcW w:type="dxa" w:w="5760"/>
            <w:shd w:fill="F8FAFC"/>
            <w:tcMar>
              <w:top w:w="80" w:type="dxa"/>
              <w:bottom w:w="80" w:type="dxa"/>
              <w:left w:w="120" w:type="dxa"/>
              <w:right w:w="120" w:type="dxa"/>
            </w:tcMar>
          </w:tcPr>
          <w:p>
            <w:r>
              <w:rPr>
                <w:rFonts w:ascii="Calibri" w:hAnsi="Calibri"/>
                <w:color w:val="1E293B"/>
                <w:sz w:val="19"/>
              </w:rPr>
              <w:t>Adopt SEC Climate‑Related Disclosure Rule (2024)</w:t>
            </w:r>
          </w:p>
        </w:tc>
      </w:tr>
      <w:tr>
        <w:tc>
          <w:tcPr>
            <w:tcW w:type="dxa" w:w="3600"/>
            <w:shd w:fill="FFFFFF"/>
            <w:tcMar>
              <w:top w:w="80" w:type="dxa"/>
              <w:bottom w:w="80" w:type="dxa"/>
              <w:left w:w="120" w:type="dxa"/>
              <w:right w:w="120" w:type="dxa"/>
            </w:tcMar>
          </w:tcPr>
          <w:p>
            <w:r>
              <w:rPr>
                <w:rFonts w:ascii="Calibri" w:hAnsi="Calibri"/>
                <w:b/>
                <w:color w:val="0F172A"/>
                <w:sz w:val="19"/>
              </w:rPr>
              <w:t>Eu Csrd</w:t>
            </w:r>
          </w:p>
        </w:tc>
        <w:tc>
          <w:tcPr>
            <w:tcW w:type="dxa" w:w="5760"/>
            <w:shd w:fill="FFFFFF"/>
            <w:tcMar>
              <w:top w:w="80" w:type="dxa"/>
              <w:bottom w:w="80" w:type="dxa"/>
              <w:left w:w="120" w:type="dxa"/>
              <w:right w:w="120" w:type="dxa"/>
            </w:tcMar>
          </w:tcPr>
          <w:p>
            <w:r>
              <w:rPr>
                <w:rFonts w:ascii="Calibri" w:hAnsi="Calibri"/>
                <w:color w:val="1E293B"/>
                <w:sz w:val="19"/>
              </w:rPr>
              <w:t>Prepare for EU Corporate Sustainability Reporting Directive applicability</w:t>
            </w:r>
          </w:p>
        </w:tc>
      </w:tr>
      <w:tr>
        <w:tc>
          <w:tcPr>
            <w:tcW w:type="dxa" w:w="3600"/>
            <w:shd w:fill="F8FAFC"/>
            <w:tcMar>
              <w:top w:w="80" w:type="dxa"/>
              <w:bottom w:w="80" w:type="dxa"/>
              <w:left w:w="120" w:type="dxa"/>
              <w:right w:w="120" w:type="dxa"/>
            </w:tcMar>
          </w:tcPr>
          <w:p>
            <w:r>
              <w:rPr>
                <w:rFonts w:ascii="Calibri" w:hAnsi="Calibri"/>
                <w:b/>
                <w:color w:val="0F172A"/>
                <w:sz w:val="19"/>
              </w:rPr>
              <w:t>California Global Warming Solutions Act</w:t>
            </w:r>
          </w:p>
        </w:tc>
        <w:tc>
          <w:tcPr>
            <w:tcW w:type="dxa" w:w="5760"/>
            <w:shd w:fill="F8FAFC"/>
            <w:tcMar>
              <w:top w:w="80" w:type="dxa"/>
              <w:bottom w:w="80" w:type="dxa"/>
              <w:left w:w="120" w:type="dxa"/>
              <w:right w:w="120" w:type="dxa"/>
            </w:tcMar>
          </w:tcPr>
          <w:p>
            <w:r>
              <w:rPr>
                <w:rFonts w:ascii="Calibri" w:hAnsi="Calibri"/>
                <w:color w:val="1E293B"/>
                <w:sz w:val="19"/>
              </w:rPr>
              <w:t>Track and report GHG emissions per AB 32</w:t>
            </w:r>
          </w:p>
        </w:tc>
      </w:tr>
      <w:tr>
        <w:tc>
          <w:tcPr>
            <w:tcW w:type="dxa" w:w="3600"/>
            <w:shd w:fill="FFFFFF"/>
            <w:tcMar>
              <w:top w:w="80" w:type="dxa"/>
              <w:bottom w:w="80" w:type="dxa"/>
              <w:left w:w="120" w:type="dxa"/>
              <w:right w:w="120" w:type="dxa"/>
            </w:tcMar>
          </w:tcPr>
          <w:p>
            <w:r>
              <w:rPr>
                <w:rFonts w:ascii="Calibri" w:hAnsi="Calibri"/>
                <w:b/>
                <w:color w:val="0F172A"/>
                <w:sz w:val="19"/>
              </w:rPr>
              <w:t>Hipaa</w:t>
            </w:r>
          </w:p>
        </w:tc>
        <w:tc>
          <w:tcPr>
            <w:tcW w:type="dxa" w:w="5760"/>
            <w:shd w:fill="FFFFFF"/>
            <w:tcMar>
              <w:top w:w="80" w:type="dxa"/>
              <w:bottom w:w="80" w:type="dxa"/>
              <w:left w:w="120" w:type="dxa"/>
              <w:right w:w="120" w:type="dxa"/>
            </w:tcMar>
          </w:tcPr>
          <w:p>
            <w:r>
              <w:rPr>
                <w:rFonts w:ascii="Calibri" w:hAnsi="Calibri"/>
                <w:color w:val="1E293B"/>
                <w:sz w:val="19"/>
              </w:rPr>
              <w:t>Ensure all health data integrations meet HIPAA privacy and security standards</w:t>
            </w:r>
          </w:p>
        </w:tc>
      </w:tr>
      <w:tr>
        <w:tc>
          <w:tcPr>
            <w:tcW w:type="dxa" w:w="3600"/>
            <w:shd w:fill="F8FAFC"/>
            <w:tcMar>
              <w:top w:w="80" w:type="dxa"/>
              <w:bottom w:w="80" w:type="dxa"/>
              <w:left w:w="120" w:type="dxa"/>
              <w:right w:w="120" w:type="dxa"/>
            </w:tcMar>
          </w:tcPr>
          <w:p>
            <w:r>
              <w:rPr>
                <w:rFonts w:ascii="Calibri" w:hAnsi="Calibri"/>
                <w:b/>
                <w:color w:val="0F172A"/>
                <w:sz w:val="19"/>
              </w:rPr>
              <w:t>Gdpr</w:t>
            </w:r>
          </w:p>
        </w:tc>
        <w:tc>
          <w:tcPr>
            <w:tcW w:type="dxa" w:w="5760"/>
            <w:shd w:fill="F8FAFC"/>
            <w:tcMar>
              <w:top w:w="80" w:type="dxa"/>
              <w:bottom w:w="80" w:type="dxa"/>
              <w:left w:w="120" w:type="dxa"/>
              <w:right w:w="120" w:type="dxa"/>
            </w:tcMar>
          </w:tcPr>
          <w:p>
            <w:r>
              <w:rPr>
                <w:rFonts w:ascii="Calibri" w:hAnsi="Calibri"/>
                <w:color w:val="1E293B"/>
                <w:sz w:val="19"/>
              </w:rPr>
              <w:t>Implement GDPR‑compliant data handling for EU athletes</w:t>
            </w:r>
          </w:p>
        </w:tc>
      </w:tr>
      <w:tr>
        <w:tc>
          <w:tcPr>
            <w:tcW w:type="dxa" w:w="3600"/>
            <w:shd w:fill="FFFFFF"/>
            <w:tcMar>
              <w:top w:w="80" w:type="dxa"/>
              <w:bottom w:w="80" w:type="dxa"/>
              <w:left w:w="120" w:type="dxa"/>
              <w:right w:w="120" w:type="dxa"/>
            </w:tcMar>
          </w:tcPr>
          <w:p>
            <w:r>
              <w:rPr>
                <w:rFonts w:ascii="Calibri" w:hAnsi="Calibri"/>
                <w:b/>
                <w:color w:val="0F172A"/>
                <w:sz w:val="19"/>
              </w:rPr>
              <w:t>Sasb</w:t>
            </w:r>
          </w:p>
        </w:tc>
        <w:tc>
          <w:tcPr>
            <w:tcW w:type="dxa" w:w="5760"/>
            <w:shd w:fill="FFFFFF"/>
            <w:tcMar>
              <w:top w:w="80" w:type="dxa"/>
              <w:bottom w:w="80" w:type="dxa"/>
              <w:left w:w="120" w:type="dxa"/>
              <w:right w:w="120" w:type="dxa"/>
            </w:tcMar>
          </w:tcPr>
          <w:p>
            <w:r>
              <w:rPr>
                <w:rFonts w:ascii="Calibri" w:hAnsi="Calibri"/>
                <w:color w:val="1E293B"/>
                <w:sz w:val="19"/>
              </w:rPr>
              <w:t>Report using SASB Sports Equipment &amp; Services standards</w:t>
            </w:r>
          </w:p>
        </w:tc>
      </w:tr>
    </w:tbl>
    <w:p>
      <w:pPr>
        <w:spacing w:after="160"/>
      </w:pPr>
    </w:p>
    <w:p>
      <w:pPr>
        <w:pStyle w:val="Heading2"/>
        <w:spacing w:before="200" w:after="80"/>
      </w:pPr>
      <w:r>
        <w:rPr>
          <w:rFonts w:ascii="Calibri" w:hAnsi="Calibri"/>
          <w:color w:val="4F46E5"/>
        </w:rPr>
        <w:t>Sustainability Roadmap</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Mar>
              <w:top w:w="120" w:type="dxa"/>
              <w:bottom w:w="120" w:type="dxa"/>
              <w:left w:w="150" w:type="dxa"/>
              <w:right w:w="150" w:type="dxa"/>
            </w:tcMar>
          </w:tcPr>
          <w:p>
            <w:pPr>
              <w:jc w:val="left"/>
            </w:pPr>
            <w:r>
              <w:rPr>
                <w:rFonts w:ascii="Calibri" w:hAnsi="Calibri"/>
                <w:b/>
                <w:color w:val="FFFFFF"/>
                <w:sz w:val="19"/>
              </w:rPr>
              <w:t>Phase</w:t>
            </w:r>
          </w:p>
        </w:tc>
        <w:tc>
          <w:tcPr>
            <w:tcW w:type="dxa" w:w="3120"/>
            <w:shd w:fill="0F172A"/>
            <w:tcMar>
              <w:top w:w="120" w:type="dxa"/>
              <w:bottom w:w="120" w:type="dxa"/>
              <w:left w:w="150" w:type="dxa"/>
              <w:right w:w="150" w:type="dxa"/>
            </w:tcMar>
          </w:tcPr>
          <w:p>
            <w:pPr>
              <w:jc w:val="left"/>
            </w:pPr>
            <w:r>
              <w:rPr>
                <w:rFonts w:ascii="Calibri" w:hAnsi="Calibri"/>
                <w:b/>
                <w:color w:val="FFFFFF"/>
                <w:sz w:val="19"/>
              </w:rPr>
              <w:t>Objectives</w:t>
            </w:r>
          </w:p>
        </w:tc>
        <w:tc>
          <w:tcPr>
            <w:tcW w:type="dxa" w:w="3120"/>
            <w:shd w:fill="0F172A"/>
            <w:tcMar>
              <w:top w:w="120" w:type="dxa"/>
              <w:bottom w:w="120" w:type="dxa"/>
              <w:left w:w="150" w:type="dxa"/>
              <w:right w:w="150" w:type="dxa"/>
            </w:tcMar>
          </w:tcPr>
          <w:p>
            <w:pPr>
              <w:jc w:val="left"/>
            </w:pPr>
            <w:r>
              <w:rPr>
                <w:rFonts w:ascii="Calibri" w:hAnsi="Calibri"/>
                <w:b/>
                <w:color w:val="FFFFFF"/>
                <w:sz w:val="19"/>
              </w:rPr>
              <w:t>Key Results</w:t>
            </w:r>
          </w:p>
        </w:tc>
      </w:tr>
      <w:tr>
        <w:tc>
          <w:tcPr>
            <w:tcW w:type="dxa" w:w="3120"/>
            <w:shd w:fill="FFFFFF"/>
            <w:tcMar>
              <w:top w:w="100" w:type="dxa"/>
              <w:bottom w:w="100" w:type="dxa"/>
              <w:left w:w="150" w:type="dxa"/>
              <w:right w:w="150" w:type="dxa"/>
            </w:tcMar>
          </w:tcPr>
          <w:p>
            <w:r>
              <w:rPr>
                <w:rFonts w:ascii="Calibri" w:hAnsi="Calibri"/>
                <w:color w:val="1E293B"/>
                <w:sz w:val="18"/>
              </w:rPr>
              <w:t>0-6 months</w:t>
            </w:r>
          </w:p>
        </w:tc>
        <w:tc>
          <w:tcPr>
            <w:tcW w:type="dxa" w:w="3120"/>
            <w:shd w:fill="FFFFFF"/>
            <w:tcMar>
              <w:top w:w="100" w:type="dxa"/>
              <w:bottom w:w="100" w:type="dxa"/>
              <w:left w:w="150" w:type="dxa"/>
              <w:right w:w="150" w:type="dxa"/>
            </w:tcMar>
          </w:tcPr>
          <w:p>
            <w:r>
              <w:rPr>
                <w:rFonts w:ascii="Calibri" w:hAnsi="Calibri"/>
                <w:color w:val="1E293B"/>
                <w:sz w:val="18"/>
              </w:rPr>
              <w:t>• Establish ESG governance charter</w:t>
              <w:br/>
              <w:t>• Baseline carbon footprint of cloud infrastructure</w:t>
              <w:br/>
              <w:t>• Implement device recycling program</w:t>
              <w:br/>
              <w:t>• Adopt GDPR/HIPAA data‑privacy controls</w:t>
            </w:r>
          </w:p>
        </w:tc>
        <w:tc>
          <w:tcPr>
            <w:tcW w:type="dxa" w:w="3120"/>
            <w:shd w:fill="FFFFFF"/>
            <w:tcMar>
              <w:top w:w="100" w:type="dxa"/>
              <w:bottom w:w="100" w:type="dxa"/>
              <w:left w:w="150" w:type="dxa"/>
              <w:right w:w="150" w:type="dxa"/>
            </w:tcMar>
          </w:tcPr>
          <w:p>
            <w:r>
              <w:rPr>
                <w:rFonts w:ascii="Calibri" w:hAnsi="Calibri"/>
                <w:color w:val="1E293B"/>
                <w:sz w:val="18"/>
              </w:rPr>
              <w:t>• ESG steering committee formed</w:t>
              <w:br/>
              <w:t>• Carbon baseline report delivered</w:t>
              <w:br/>
              <w:t>• 100% of end‑of‑life wearables entered recycling pipeline</w:t>
              <w:br/>
              <w:t>• Privacy impact assessment completed</w:t>
            </w:r>
          </w:p>
        </w:tc>
      </w:tr>
      <w:tr>
        <w:tc>
          <w:tcPr>
            <w:tcW w:type="dxa" w:w="3120"/>
            <w:shd w:fill="F8FAFC"/>
            <w:tcMar>
              <w:top w:w="100" w:type="dxa"/>
              <w:bottom w:w="100" w:type="dxa"/>
              <w:left w:w="150" w:type="dxa"/>
              <w:right w:w="150" w:type="dxa"/>
            </w:tcMar>
          </w:tcPr>
          <w:p>
            <w:r>
              <w:rPr>
                <w:rFonts w:ascii="Calibri" w:hAnsi="Calibri"/>
                <w:color w:val="1E293B"/>
                <w:sz w:val="18"/>
              </w:rPr>
              <w:t>6-12 months</w:t>
            </w:r>
          </w:p>
        </w:tc>
        <w:tc>
          <w:tcPr>
            <w:tcW w:type="dxa" w:w="3120"/>
            <w:shd w:fill="F8FAFC"/>
            <w:tcMar>
              <w:top w:w="100" w:type="dxa"/>
              <w:bottom w:w="100" w:type="dxa"/>
              <w:left w:w="150" w:type="dxa"/>
              <w:right w:w="150" w:type="dxa"/>
            </w:tcMar>
          </w:tcPr>
          <w:p>
            <w:r>
              <w:rPr>
                <w:rFonts w:ascii="Calibri" w:hAnsi="Calibri"/>
                <w:color w:val="1E293B"/>
                <w:sz w:val="18"/>
              </w:rPr>
              <w:t>• Migrate 50% of workloads to renewable‑energy‑powered cloud</w:t>
              <w:br/>
              <w:t>• Launch internal D&amp;I recruitment targets</w:t>
              <w:br/>
              <w:t>• Publish first GRI‑aligned sustainability report</w:t>
            </w:r>
          </w:p>
        </w:tc>
        <w:tc>
          <w:tcPr>
            <w:tcW w:type="dxa" w:w="3120"/>
            <w:shd w:fill="F8FAFC"/>
            <w:tcMar>
              <w:top w:w="100" w:type="dxa"/>
              <w:bottom w:w="100" w:type="dxa"/>
              <w:left w:w="150" w:type="dxa"/>
              <w:right w:w="150" w:type="dxa"/>
            </w:tcMar>
          </w:tcPr>
          <w:p>
            <w:r>
              <w:rPr>
                <w:rFonts w:ascii="Calibri" w:hAnsi="Calibri"/>
                <w:color w:val="1E293B"/>
                <w:sz w:val="18"/>
              </w:rPr>
              <w:t>• Renewable energy procurement contracts signed</w:t>
              <w:br/>
              <w:t>• D&amp;I hiring goal: 30% underrepresented talent</w:t>
              <w:br/>
              <w:t>• GRI report released publicly</w:t>
            </w:r>
          </w:p>
        </w:tc>
      </w:tr>
      <w:tr>
        <w:tc>
          <w:tcPr>
            <w:tcW w:type="dxa" w:w="3120"/>
            <w:shd w:fill="FFFFFF"/>
            <w:tcMar>
              <w:top w:w="100" w:type="dxa"/>
              <w:bottom w:w="100" w:type="dxa"/>
              <w:left w:w="150" w:type="dxa"/>
              <w:right w:w="150" w:type="dxa"/>
            </w:tcMar>
          </w:tcPr>
          <w:p>
            <w:r>
              <w:rPr>
                <w:rFonts w:ascii="Calibri" w:hAnsi="Calibri"/>
                <w:color w:val="1E293B"/>
                <w:sz w:val="18"/>
              </w:rPr>
              <w:t>12-18 months</w:t>
            </w:r>
          </w:p>
        </w:tc>
        <w:tc>
          <w:tcPr>
            <w:tcW w:type="dxa" w:w="3120"/>
            <w:shd w:fill="FFFFFF"/>
            <w:tcMar>
              <w:top w:w="100" w:type="dxa"/>
              <w:bottom w:w="100" w:type="dxa"/>
              <w:left w:w="150" w:type="dxa"/>
              <w:right w:w="150" w:type="dxa"/>
            </w:tcMar>
          </w:tcPr>
          <w:p>
            <w:r>
              <w:rPr>
                <w:rFonts w:ascii="Calibri" w:hAnsi="Calibri"/>
                <w:color w:val="1E293B"/>
                <w:sz w:val="18"/>
              </w:rPr>
              <w:t>• Achieve 30% reduction in scope 2 emissions</w:t>
              <w:br/>
              <w:t>• Integrate ESG metrics into investor dashboards</w:t>
              <w:br/>
              <w:t>• Obtain ISO 14001 environmental management certification</w:t>
            </w:r>
          </w:p>
        </w:tc>
        <w:tc>
          <w:tcPr>
            <w:tcW w:type="dxa" w:w="3120"/>
            <w:shd w:fill="FFFFFF"/>
            <w:tcMar>
              <w:top w:w="100" w:type="dxa"/>
              <w:bottom w:w="100" w:type="dxa"/>
              <w:left w:w="150" w:type="dxa"/>
              <w:right w:w="150" w:type="dxa"/>
            </w:tcMar>
          </w:tcPr>
          <w:p>
            <w:r>
              <w:rPr>
                <w:rFonts w:ascii="Calibri" w:hAnsi="Calibri"/>
                <w:color w:val="1E293B"/>
                <w:sz w:val="18"/>
              </w:rPr>
              <w:t>• Scope 2 emissions down 30% YoY</w:t>
              <w:br/>
              <w:t>• Investor portal displays ESG KPIs</w:t>
              <w:br/>
              <w:t>• ISO 14001 certification awarded</w:t>
            </w:r>
          </w:p>
        </w:tc>
      </w:tr>
      <w:tr>
        <w:tc>
          <w:tcPr>
            <w:tcW w:type="dxa" w:w="3120"/>
            <w:shd w:fill="F8FAFC"/>
            <w:tcMar>
              <w:top w:w="100" w:type="dxa"/>
              <w:bottom w:w="100" w:type="dxa"/>
              <w:left w:w="150" w:type="dxa"/>
              <w:right w:w="150" w:type="dxa"/>
            </w:tcMar>
          </w:tcPr>
          <w:p>
            <w:r>
              <w:rPr>
                <w:rFonts w:ascii="Calibri" w:hAnsi="Calibri"/>
                <w:color w:val="1E293B"/>
                <w:sz w:val="18"/>
              </w:rPr>
              <w:t>18-24 months</w:t>
            </w:r>
          </w:p>
        </w:tc>
        <w:tc>
          <w:tcPr>
            <w:tcW w:type="dxa" w:w="3120"/>
            <w:shd w:fill="F8FAFC"/>
            <w:tcMar>
              <w:top w:w="100" w:type="dxa"/>
              <w:bottom w:w="100" w:type="dxa"/>
              <w:left w:w="150" w:type="dxa"/>
              <w:right w:w="150" w:type="dxa"/>
            </w:tcMar>
          </w:tcPr>
          <w:p>
            <w:r>
              <w:rPr>
                <w:rFonts w:ascii="Calibri" w:hAnsi="Calibri"/>
                <w:color w:val="1E293B"/>
                <w:sz w:val="18"/>
              </w:rPr>
              <w:t>• Reach net‑zero scope 1‑3 emissions</w:t>
              <w:br/>
              <w:t>• Scale device take‑back program to 90% return rate</w:t>
              <w:br/>
              <w:t>• Embed ESG criteria in supplier contracts</w:t>
            </w:r>
          </w:p>
        </w:tc>
        <w:tc>
          <w:tcPr>
            <w:tcW w:type="dxa" w:w="3120"/>
            <w:shd w:fill="F8FAFC"/>
            <w:tcMar>
              <w:top w:w="100" w:type="dxa"/>
              <w:bottom w:w="100" w:type="dxa"/>
              <w:left w:w="150" w:type="dxa"/>
              <w:right w:w="150" w:type="dxa"/>
            </w:tcMar>
          </w:tcPr>
          <w:p>
            <w:r>
              <w:rPr>
                <w:rFonts w:ascii="Calibri" w:hAnsi="Calibri"/>
                <w:color w:val="1E293B"/>
                <w:sz w:val="18"/>
              </w:rPr>
              <w:t>• Net‑zero verified by third‑party auditor</w:t>
              <w:br/>
              <w:t>• 90% of wearables returned for refurbish/recycle</w:t>
              <w:br/>
              <w:t>• All major suppliers sign ESG compliance addendum</w:t>
            </w:r>
          </w:p>
        </w:tc>
      </w:tr>
    </w:tbl>
    <w:p>
      <w:pPr>
        <w:spacing w:after="160"/>
      </w:pPr>
    </w:p>
    <w:p>
      <w:pPr>
        <w:spacing w:after="200"/>
      </w:pPr>
    </w:p>
    <w:p>
      <w:pPr>
        <w:pStyle w:val="Heading1"/>
        <w:spacing w:before="360" w:after="120"/>
      </w:pPr>
      <w:r>
        <w:rPr>
          <w:rFonts w:ascii="Calibri" w:hAnsi="Calibri"/>
          <w:b/>
          <w:color w:val="0F172A"/>
          <w:sz w:val="28"/>
        </w:rPr>
        <w:t>SECTION 5.0 — EXECUTIVE SUMMARY</w:t>
      </w:r>
    </w:p>
    <w:p>
      <w:pPr>
        <w:pStyle w:val="Heading2"/>
        <w:spacing w:before="200" w:after="80"/>
      </w:pPr>
      <w:r>
        <w:rPr>
          <w:rFonts w:ascii="Calibri" w:hAnsi="Calibri"/>
          <w:color w:val="4F46E5"/>
        </w:rPr>
        <w:t>Concept</w:t>
      </w:r>
    </w:p>
    <w:p>
      <w:pPr>
        <w:spacing w:after="120" w:line="276" w:lineRule="auto"/>
      </w:pPr>
      <w:r>
        <w:rPr>
          <w:rFonts w:ascii="Calibri" w:hAnsi="Calibri"/>
          <w:color w:val="1E293B"/>
          <w:sz w:val="20"/>
        </w:rPr>
        <w:t>Zone7 AI offers an enterprise AI SaaS platform that ingests data from wearables, electronic health records, and match‑tracking systems to generate 7‑day non‑contact injury risk forecasts and automated load‑management recommendations for elite sports franchises, Olympic federations, and Division‑1 collegiate programs.</w:t>
      </w:r>
    </w:p>
    <w:p>
      <w:pPr>
        <w:pStyle w:val="Heading2"/>
        <w:spacing w:before="200" w:after="80"/>
      </w:pPr>
      <w:r>
        <w:rPr>
          <w:rFonts w:ascii="Calibri" w:hAnsi="Calibri"/>
          <w:color w:val="4F46E5"/>
        </w:rPr>
        <w:t>Market Opportunity</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Target Customers</w:t>
            </w:r>
          </w:p>
        </w:tc>
        <w:tc>
          <w:tcPr>
            <w:tcW w:type="dxa" w:w="5760"/>
            <w:shd w:fill="F8FAFC"/>
            <w:tcMar>
              <w:top w:w="80" w:type="dxa"/>
              <w:bottom w:w="80" w:type="dxa"/>
              <w:left w:w="120" w:type="dxa"/>
              <w:right w:w="120" w:type="dxa"/>
            </w:tcMar>
          </w:tcPr>
          <w:p>
            <w:r>
              <w:rPr>
                <w:rFonts w:ascii="Calibri" w:hAnsi="Calibri"/>
                <w:color w:val="1E293B"/>
                <w:sz w:val="19"/>
              </w:rPr>
              <w:t>Tier‑1/Tier‑2 professional clubs (NFL, NBA, MLB, Premier League, Serie A, MLS), Olympic federations, and top NCAA Division‑1 programs.</w:t>
            </w:r>
          </w:p>
        </w:tc>
      </w:tr>
      <w:tr>
        <w:tc>
          <w:tcPr>
            <w:tcW w:type="dxa" w:w="3600"/>
            <w:shd w:fill="FFFFFF"/>
            <w:tcMar>
              <w:top w:w="80" w:type="dxa"/>
              <w:bottom w:w="80" w:type="dxa"/>
              <w:left w:w="120" w:type="dxa"/>
              <w:right w:w="120" w:type="dxa"/>
            </w:tcMar>
          </w:tcPr>
          <w:p>
            <w:r>
              <w:rPr>
                <w:rFonts w:ascii="Calibri" w:hAnsi="Calibri"/>
                <w:b/>
                <w:color w:val="0F172A"/>
                <w:sz w:val="19"/>
              </w:rPr>
              <w:t>Tam</w:t>
            </w:r>
          </w:p>
        </w:tc>
        <w:tc>
          <w:tcPr>
            <w:tcW w:type="dxa" w:w="5760"/>
            <w:shd w:fill="FFFFFF"/>
            <w:tcMar>
              <w:top w:w="80" w:type="dxa"/>
              <w:bottom w:w="80" w:type="dxa"/>
              <w:left w:w="120" w:type="dxa"/>
              <w:right w:w="120" w:type="dxa"/>
            </w:tcMar>
          </w:tcPr>
          <w:p>
            <w:r>
              <w:rPr>
                <w:rFonts w:ascii="Calibri" w:hAnsi="Calibri"/>
                <w:color w:val="1E293B"/>
                <w:sz w:val="19"/>
              </w:rPr>
              <w:t>$40M (bottom‑up estimate based on ~400 elite clubs with an average $100k ACV)</w:t>
            </w:r>
          </w:p>
        </w:tc>
      </w:tr>
      <w:tr>
        <w:tc>
          <w:tcPr>
            <w:tcW w:type="dxa" w:w="3600"/>
            <w:shd w:fill="F8FAFC"/>
            <w:tcMar>
              <w:top w:w="80" w:type="dxa"/>
              <w:bottom w:w="80" w:type="dxa"/>
              <w:left w:w="120" w:type="dxa"/>
              <w:right w:w="120" w:type="dxa"/>
            </w:tcMar>
          </w:tcPr>
          <w:p>
            <w:r>
              <w:rPr>
                <w:rFonts w:ascii="Calibri" w:hAnsi="Calibri"/>
                <w:b/>
                <w:color w:val="0F172A"/>
                <w:sz w:val="19"/>
              </w:rPr>
              <w:t>Sam</w:t>
            </w:r>
          </w:p>
        </w:tc>
        <w:tc>
          <w:tcPr>
            <w:tcW w:type="dxa" w:w="5760"/>
            <w:shd w:fill="F8FAFC"/>
            <w:tcMar>
              <w:top w:w="80" w:type="dxa"/>
              <w:bottom w:w="80" w:type="dxa"/>
              <w:left w:w="120" w:type="dxa"/>
              <w:right w:w="120" w:type="dxa"/>
            </w:tcMar>
          </w:tcPr>
          <w:p>
            <w:r>
              <w:rPr>
                <w:rFonts w:ascii="Calibri" w:hAnsi="Calibri"/>
                <w:color w:val="1E293B"/>
                <w:sz w:val="19"/>
              </w:rPr>
              <w:t>$20M (focus on 200 clubs likely to adopt within 3‑year horizon)</w:t>
            </w:r>
          </w:p>
        </w:tc>
      </w:tr>
      <w:tr>
        <w:tc>
          <w:tcPr>
            <w:tcW w:type="dxa" w:w="3600"/>
            <w:shd w:fill="FFFFFF"/>
            <w:tcMar>
              <w:top w:w="80" w:type="dxa"/>
              <w:bottom w:w="80" w:type="dxa"/>
              <w:left w:w="120" w:type="dxa"/>
              <w:right w:w="120" w:type="dxa"/>
            </w:tcMar>
          </w:tcPr>
          <w:p>
            <w:r>
              <w:rPr>
                <w:rFonts w:ascii="Calibri" w:hAnsi="Calibri"/>
                <w:b/>
                <w:color w:val="0F172A"/>
                <w:sz w:val="19"/>
              </w:rPr>
              <w:t>Som</w:t>
            </w:r>
          </w:p>
        </w:tc>
        <w:tc>
          <w:tcPr>
            <w:tcW w:type="dxa" w:w="5760"/>
            <w:shd w:fill="FFFFFF"/>
            <w:tcMar>
              <w:top w:w="80" w:type="dxa"/>
              <w:bottom w:w="80" w:type="dxa"/>
              <w:left w:w="120" w:type="dxa"/>
              <w:right w:w="120" w:type="dxa"/>
            </w:tcMar>
          </w:tcPr>
          <w:p>
            <w:r>
              <w:rPr>
                <w:rFonts w:ascii="Calibri" w:hAnsi="Calibri"/>
                <w:color w:val="1E293B"/>
                <w:sz w:val="19"/>
              </w:rPr>
              <w:t>$2M (5% of SAM achievable in the first 3 years through pilot contracts and early adopters)</w:t>
            </w:r>
          </w:p>
        </w:tc>
      </w:tr>
      <w:tr>
        <w:tc>
          <w:tcPr>
            <w:tcW w:type="dxa" w:w="3600"/>
            <w:shd w:fill="F8FAFC"/>
            <w:tcMar>
              <w:top w:w="80" w:type="dxa"/>
              <w:bottom w:w="80" w:type="dxa"/>
              <w:left w:w="120" w:type="dxa"/>
              <w:right w:w="120" w:type="dxa"/>
            </w:tcMar>
          </w:tcPr>
          <w:p>
            <w:r>
              <w:rPr>
                <w:rFonts w:ascii="Calibri" w:hAnsi="Calibri"/>
                <w:b/>
                <w:color w:val="0F172A"/>
                <w:sz w:val="19"/>
              </w:rPr>
              <w:t>Competitive Landscape</w:t>
            </w:r>
          </w:p>
        </w:tc>
        <w:tc>
          <w:tcPr>
            <w:tcW w:type="dxa" w:w="5760"/>
            <w:shd w:fill="F8FAFC"/>
            <w:tcMar>
              <w:top w:w="80" w:type="dxa"/>
              <w:bottom w:w="80" w:type="dxa"/>
              <w:left w:w="120" w:type="dxa"/>
              <w:right w:w="120" w:type="dxa"/>
            </w:tcMar>
          </w:tcPr>
          <w:p>
            <w:r>
              <w:rPr>
                <w:rFonts w:ascii="Calibri" w:hAnsi="Calibri"/>
                <w:color w:val="1E293B"/>
                <w:sz w:val="19"/>
              </w:rPr>
              <w:t>Incumbents include Kitman Labs, Catapult, Orreco, Sparta Science, and Smartabase. Zone7 differentiates on a proprietary 200M‑hour multimodal data lake, patented deep‑learning injury‑prediction models, and a universal API that integrates any wearable or EHR source.</w:t>
            </w:r>
          </w:p>
        </w:tc>
      </w:tr>
      <w:tr>
        <w:tc>
          <w:tcPr>
            <w:tcW w:type="dxa" w:w="3600"/>
            <w:shd w:fill="FFFFFF"/>
            <w:tcMar>
              <w:top w:w="80" w:type="dxa"/>
              <w:bottom w:w="80" w:type="dxa"/>
              <w:left w:w="120" w:type="dxa"/>
              <w:right w:w="120" w:type="dxa"/>
            </w:tcMar>
          </w:tcPr>
          <w:p>
            <w:r>
              <w:rPr>
                <w:rFonts w:ascii="Calibri" w:hAnsi="Calibri"/>
                <w:b/>
                <w:color w:val="0F172A"/>
                <w:sz w:val="19"/>
              </w:rPr>
              <w:t>Market Trends</w:t>
            </w:r>
          </w:p>
        </w:tc>
        <w:tc>
          <w:tcPr>
            <w:tcW w:type="dxa" w:w="5760"/>
            <w:shd w:fill="FFFFFF"/>
            <w:tcMar>
              <w:top w:w="80" w:type="dxa"/>
              <w:bottom w:w="80" w:type="dxa"/>
              <w:left w:w="120" w:type="dxa"/>
              <w:right w:w="120" w:type="dxa"/>
            </w:tcMar>
          </w:tcPr>
          <w:p>
            <w:r>
              <w:rPr>
                <w:rFonts w:ascii="Calibri" w:hAnsi="Calibri"/>
                <w:color w:val="1E293B"/>
                <w:sz w:val="19"/>
              </w:rPr>
              <w:t>Growing demand for data‑driven performance optimization, increasing regulatory focus on athlete health data, and expanding AI adoption in sports tech.</w:t>
            </w:r>
          </w:p>
        </w:tc>
      </w:tr>
    </w:tbl>
    <w:p>
      <w:pPr>
        <w:spacing w:after="160"/>
      </w:pPr>
    </w:p>
    <w:p>
      <w:pPr>
        <w:pStyle w:val="Heading2"/>
        <w:spacing w:before="200" w:after="80"/>
      </w:pPr>
      <w:r>
        <w:rPr>
          <w:rFonts w:ascii="Calibri" w:hAnsi="Calibri"/>
          <w:color w:val="4F46E5"/>
        </w:rPr>
        <w:t>Strategic Positioning</w:t>
      </w:r>
    </w:p>
    <w:p>
      <w:pPr>
        <w:pStyle w:val="Heading3"/>
        <w:spacing w:before="200" w:after="80"/>
      </w:pPr>
      <w:r>
        <w:rPr>
          <w:rFonts w:ascii="Calibri" w:hAnsi="Calibri"/>
          <w:color w:val="0F172A"/>
        </w:rPr>
        <w:t>Unique Value Proposition</w:t>
      </w:r>
    </w:p>
    <w:p>
      <w:pPr>
        <w:spacing w:after="120" w:line="276" w:lineRule="auto"/>
      </w:pPr>
      <w:r>
        <w:rPr>
          <w:rFonts w:ascii="Calibri" w:hAnsi="Calibri"/>
          <w:color w:val="1E293B"/>
          <w:sz w:val="20"/>
        </w:rPr>
        <w:t>Predictive injury analytics with a 7‑day horizon combined with automated periodization, delivered through a plug‑and‑play integration layer that eliminates data silos.</w:t>
      </w:r>
    </w:p>
    <w:p>
      <w:pPr>
        <w:pStyle w:val="Heading3"/>
        <w:spacing w:before="200" w:after="80"/>
      </w:pPr>
      <w:r>
        <w:rPr>
          <w:rFonts w:ascii="Calibri" w:hAnsi="Calibri"/>
          <w:color w:val="0F172A"/>
        </w:rPr>
        <w:t>Defensible Moats</w:t>
      </w:r>
    </w:p>
    <w:p>
      <w:pPr>
        <w:pStyle w:val="ListBullet"/>
        <w:spacing w:after="60" w:line="276" w:lineRule="auto"/>
      </w:pPr>
      <w:r>
        <w:rPr>
          <w:rFonts w:ascii="Calibri" w:hAnsi="Calibri"/>
          <w:color w:val="1E293B"/>
          <w:sz w:val="20"/>
        </w:rPr>
        <w:t>Continuously expanding 200M+ hour proprietary data lake (validated by third‑party sports science partners).</w:t>
      </w:r>
    </w:p>
    <w:p>
      <w:pPr>
        <w:pStyle w:val="ListBullet"/>
        <w:spacing w:after="60" w:line="276" w:lineRule="auto"/>
      </w:pPr>
      <w:r>
        <w:rPr>
          <w:rFonts w:ascii="Calibri" w:hAnsi="Calibri"/>
          <w:color w:val="1E293B"/>
          <w:sz w:val="20"/>
        </w:rPr>
        <w:t>Patented model architecture and training pipeline.</w:t>
      </w:r>
    </w:p>
    <w:p>
      <w:pPr>
        <w:pStyle w:val="ListBullet"/>
        <w:spacing w:after="60" w:line="276" w:lineRule="auto"/>
      </w:pPr>
      <w:r>
        <w:rPr>
          <w:rFonts w:ascii="Calibri" w:hAnsi="Calibri"/>
          <w:color w:val="1E293B"/>
          <w:sz w:val="20"/>
        </w:rPr>
        <w:t>Network effects from club‑level data contributions that improve model accuracy over time.</w:t>
      </w:r>
    </w:p>
    <w:p>
      <w:pPr>
        <w:pStyle w:val="ListBullet"/>
        <w:spacing w:after="60" w:line="276" w:lineRule="auto"/>
      </w:pPr>
      <w:r>
        <w:rPr>
          <w:rFonts w:ascii="Calibri" w:hAnsi="Calibri"/>
          <w:color w:val="1E293B"/>
          <w:sz w:val="20"/>
        </w:rPr>
        <w:t>HIPAA‑grade security and compliance framework that few competitors can match at scale.</w:t>
      </w:r>
    </w:p>
    <w:p>
      <w:pPr>
        <w:pStyle w:val="Heading3"/>
        <w:spacing w:before="200" w:after="80"/>
      </w:pPr>
      <w:r>
        <w:rPr>
          <w:rFonts w:ascii="Calibri" w:hAnsi="Calibri"/>
          <w:color w:val="0F172A"/>
        </w:rPr>
        <w:t>Go To Market</w:t>
      </w:r>
    </w:p>
    <w:p>
      <w:pPr>
        <w:spacing w:after="120" w:line="276" w:lineRule="auto"/>
      </w:pPr>
      <w:r>
        <w:rPr>
          <w:rFonts w:ascii="Calibri" w:hAnsi="Calibri"/>
          <w:color w:val="1E293B"/>
          <w:sz w:val="20"/>
        </w:rPr>
        <w:t>Launch pilot programs with 3‑5 flagship clubs (one NFL, one NBA, two NCAA powerhouses) to generate ROI case studies, then expand via account‑based marketing, league partnerships, and integration agreements with leading wearable manufacturers.</w:t>
      </w:r>
    </w:p>
    <w:p>
      <w:pPr>
        <w:pStyle w:val="Heading3"/>
        <w:spacing w:before="200" w:after="80"/>
      </w:pPr>
      <w:r>
        <w:rPr>
          <w:rFonts w:ascii="Calibri" w:hAnsi="Calibri"/>
          <w:color w:val="0F172A"/>
        </w:rPr>
        <w:t>Pricing Model</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Audit</w:t>
            </w:r>
          </w:p>
        </w:tc>
        <w:tc>
          <w:tcPr>
            <w:tcW w:type="dxa" w:w="5760"/>
            <w:shd w:fill="F8FAFC"/>
            <w:tcMar>
              <w:top w:w="80" w:type="dxa"/>
              <w:bottom w:w="80" w:type="dxa"/>
              <w:left w:w="120" w:type="dxa"/>
              <w:right w:w="120" w:type="dxa"/>
            </w:tcMar>
          </w:tcPr>
          <w:p>
            <w:r>
              <w:rPr>
                <w:rFonts w:ascii="Calibri" w:hAnsi="Calibri"/>
                <w:color w:val="1E293B"/>
                <w:sz w:val="19"/>
              </w:rPr>
              <w:t>$15,000/yr</w:t>
            </w:r>
          </w:p>
        </w:tc>
      </w:tr>
      <w:tr>
        <w:tc>
          <w:tcPr>
            <w:tcW w:type="dxa" w:w="3600"/>
            <w:shd w:fill="FFFFFF"/>
            <w:tcMar>
              <w:top w:w="80" w:type="dxa"/>
              <w:bottom w:w="80" w:type="dxa"/>
              <w:left w:w="120" w:type="dxa"/>
              <w:right w:w="120" w:type="dxa"/>
            </w:tcMar>
          </w:tcPr>
          <w:p>
            <w:r>
              <w:rPr>
                <w:rFonts w:ascii="Calibri" w:hAnsi="Calibri"/>
                <w:b/>
                <w:color w:val="0F172A"/>
                <w:sz w:val="19"/>
              </w:rPr>
              <w:t>Pro</w:t>
            </w:r>
          </w:p>
        </w:tc>
        <w:tc>
          <w:tcPr>
            <w:tcW w:type="dxa" w:w="5760"/>
            <w:shd w:fill="FFFFFF"/>
            <w:tcMar>
              <w:top w:w="80" w:type="dxa"/>
              <w:bottom w:w="80" w:type="dxa"/>
              <w:left w:w="120" w:type="dxa"/>
              <w:right w:w="120" w:type="dxa"/>
            </w:tcMar>
          </w:tcPr>
          <w:p>
            <w:r>
              <w:rPr>
                <w:rFonts w:ascii="Calibri" w:hAnsi="Calibri"/>
                <w:color w:val="1E293B"/>
                <w:sz w:val="19"/>
              </w:rPr>
              <w:t>$75,000/yr per squad</w:t>
            </w:r>
          </w:p>
        </w:tc>
      </w:tr>
      <w:tr>
        <w:tc>
          <w:tcPr>
            <w:tcW w:type="dxa" w:w="3600"/>
            <w:shd w:fill="F8FAFC"/>
            <w:tcMar>
              <w:top w:w="80" w:type="dxa"/>
              <w:bottom w:w="80" w:type="dxa"/>
              <w:left w:w="120" w:type="dxa"/>
              <w:right w:w="120" w:type="dxa"/>
            </w:tcMar>
          </w:tcPr>
          <w:p>
            <w:r>
              <w:rPr>
                <w:rFonts w:ascii="Calibri" w:hAnsi="Calibri"/>
                <w:b/>
                <w:color w:val="0F172A"/>
                <w:sz w:val="19"/>
              </w:rPr>
              <w:t>Elite Enterprise</w:t>
            </w:r>
          </w:p>
        </w:tc>
        <w:tc>
          <w:tcPr>
            <w:tcW w:type="dxa" w:w="5760"/>
            <w:shd w:fill="F8FAFC"/>
            <w:tcMar>
              <w:top w:w="80" w:type="dxa"/>
              <w:bottom w:w="80" w:type="dxa"/>
              <w:left w:w="120" w:type="dxa"/>
              <w:right w:w="120" w:type="dxa"/>
            </w:tcMar>
          </w:tcPr>
          <w:p>
            <w:r>
              <w:rPr>
                <w:rFonts w:ascii="Calibri" w:hAnsi="Calibri"/>
                <w:color w:val="1E293B"/>
                <w:sz w:val="19"/>
              </w:rPr>
              <w:t>custom pricing (starting at $250,000/yr)</w:t>
            </w:r>
          </w:p>
        </w:tc>
      </w:tr>
    </w:tbl>
    <w:p>
      <w:pPr>
        <w:spacing w:after="160"/>
      </w:pPr>
    </w:p>
    <w:p>
      <w:pPr>
        <w:pStyle w:val="Heading2"/>
        <w:spacing w:before="200" w:after="80"/>
      </w:pPr>
      <w:r>
        <w:rPr>
          <w:rFonts w:ascii="Calibri" w:hAnsi="Calibri"/>
          <w:color w:val="4F46E5"/>
        </w:rPr>
        <w:t>Financial Projection Summary</w:t>
      </w:r>
    </w:p>
    <w:p>
      <w:pPr>
        <w:pStyle w:val="Heading3"/>
        <w:spacing w:before="200" w:after="80"/>
      </w:pPr>
      <w:r>
        <w:rPr>
          <w:rFonts w:ascii="Calibri" w:hAnsi="Calibri"/>
          <w:color w:val="0F172A"/>
        </w:rPr>
        <w:t>Revenue Model</w:t>
      </w:r>
    </w:p>
    <w:p>
      <w:pPr>
        <w:spacing w:after="120" w:line="276" w:lineRule="auto"/>
      </w:pPr>
      <w:r>
        <w:rPr>
          <w:rFonts w:ascii="Calibri" w:hAnsi="Calibri"/>
          <w:color w:val="1E293B"/>
          <w:sz w:val="20"/>
        </w:rPr>
        <w:t>Annual B2B SaaS subscription tiered by feature scope plus optional Data‑Science‑as‑a‑Service consulting retainers.</w:t>
      </w:r>
    </w:p>
    <w:p>
      <w:pPr>
        <w:pStyle w:val="Heading3"/>
        <w:spacing w:before="200" w:after="80"/>
      </w:pPr>
      <w:r>
        <w:rPr>
          <w:rFonts w:ascii="Calibri" w:hAnsi="Calibri"/>
          <w:color w:val="0F172A"/>
        </w:rPr>
        <w:t>Pricing Tiers</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Starter</w:t>
            </w:r>
          </w:p>
        </w:tc>
        <w:tc>
          <w:tcPr>
            <w:tcW w:type="dxa" w:w="5760"/>
            <w:shd w:fill="F8FAFC"/>
            <w:tcMar>
              <w:top w:w="80" w:type="dxa"/>
              <w:bottom w:w="80" w:type="dxa"/>
              <w:left w:w="120" w:type="dxa"/>
              <w:right w:w="120" w:type="dxa"/>
            </w:tcMar>
          </w:tcPr>
          <w:p>
            <w:r>
              <w:rPr>
                <w:rFonts w:ascii="Calibri" w:hAnsi="Calibri"/>
                <w:color w:val="1E293B"/>
                <w:sz w:val="19"/>
              </w:rPr>
              <w:t>299</w:t>
            </w:r>
          </w:p>
        </w:tc>
      </w:tr>
      <w:tr>
        <w:tc>
          <w:tcPr>
            <w:tcW w:type="dxa" w:w="3600"/>
            <w:shd w:fill="FFFFFF"/>
            <w:tcMar>
              <w:top w:w="80" w:type="dxa"/>
              <w:bottom w:w="80" w:type="dxa"/>
              <w:left w:w="120" w:type="dxa"/>
              <w:right w:w="120" w:type="dxa"/>
            </w:tcMar>
          </w:tcPr>
          <w:p>
            <w:r>
              <w:rPr>
                <w:rFonts w:ascii="Calibri" w:hAnsi="Calibri"/>
                <w:b/>
                <w:color w:val="0F172A"/>
                <w:sz w:val="19"/>
              </w:rPr>
              <w:t>Growth</w:t>
            </w:r>
          </w:p>
        </w:tc>
        <w:tc>
          <w:tcPr>
            <w:tcW w:type="dxa" w:w="5760"/>
            <w:shd w:fill="FFFFFF"/>
            <w:tcMar>
              <w:top w:w="80" w:type="dxa"/>
              <w:bottom w:w="80" w:type="dxa"/>
              <w:left w:w="120" w:type="dxa"/>
              <w:right w:w="120" w:type="dxa"/>
            </w:tcMar>
          </w:tcPr>
          <w:p>
            <w:r>
              <w:rPr>
                <w:rFonts w:ascii="Calibri" w:hAnsi="Calibri"/>
                <w:color w:val="1E293B"/>
                <w:sz w:val="19"/>
              </w:rPr>
              <w:t>799</w:t>
            </w:r>
          </w:p>
        </w:tc>
      </w:tr>
      <w:tr>
        <w:tc>
          <w:tcPr>
            <w:tcW w:type="dxa" w:w="3600"/>
            <w:shd w:fill="F8FAFC"/>
            <w:tcMar>
              <w:top w:w="80" w:type="dxa"/>
              <w:bottom w:w="80" w:type="dxa"/>
              <w:left w:w="120" w:type="dxa"/>
              <w:right w:w="120" w:type="dxa"/>
            </w:tcMar>
          </w:tcPr>
          <w:p>
            <w:r>
              <w:rPr>
                <w:rFonts w:ascii="Calibri" w:hAnsi="Calibri"/>
                <w:b/>
                <w:color w:val="0F172A"/>
                <w:sz w:val="19"/>
              </w:rPr>
              <w:t>Enterprise</w:t>
            </w:r>
          </w:p>
        </w:tc>
        <w:tc>
          <w:tcPr>
            <w:tcW w:type="dxa" w:w="5760"/>
            <w:shd w:fill="F8FAFC"/>
            <w:tcMar>
              <w:top w:w="80" w:type="dxa"/>
              <w:bottom w:w="80" w:type="dxa"/>
              <w:left w:w="120" w:type="dxa"/>
              <w:right w:w="120" w:type="dxa"/>
            </w:tcMar>
          </w:tcPr>
          <w:p>
            <w:r>
              <w:rPr>
                <w:rFonts w:ascii="Calibri" w:hAnsi="Calibri"/>
                <w:color w:val="1E293B"/>
                <w:sz w:val="19"/>
              </w:rPr>
              <w:t>1,999</w:t>
            </w:r>
          </w:p>
        </w:tc>
      </w:tr>
    </w:tbl>
    <w:p>
      <w:pPr>
        <w:spacing w:after="160"/>
      </w:pPr>
    </w:p>
    <w:p>
      <w:pPr>
        <w:pStyle w:val="Heading3"/>
        <w:spacing w:before="200" w:after="80"/>
      </w:pPr>
      <w:r>
        <w:rPr>
          <w:rFonts w:ascii="Calibri" w:hAnsi="Calibri"/>
          <w:color w:val="0F172A"/>
        </w:rPr>
        <w:t>Cac Estimate</w:t>
      </w:r>
    </w:p>
    <w:p>
      <w:pPr>
        <w:spacing w:after="120" w:line="276" w:lineRule="auto"/>
      </w:pPr>
      <w:r>
        <w:rPr>
          <w:rFonts w:ascii="Calibri" w:hAnsi="Calibri"/>
          <w:color w:val="1E293B"/>
          <w:sz w:val="20"/>
        </w:rPr>
        <w:t>8,000</w:t>
      </w:r>
    </w:p>
    <w:p>
      <w:pPr>
        <w:pStyle w:val="Heading3"/>
        <w:spacing w:before="200" w:after="80"/>
      </w:pPr>
      <w:r>
        <w:rPr>
          <w:rFonts w:ascii="Calibri" w:hAnsi="Calibri"/>
          <w:color w:val="0F172A"/>
        </w:rPr>
        <w:t>Ltv Estimate</w:t>
      </w:r>
    </w:p>
    <w:p>
      <w:pPr>
        <w:spacing w:after="120" w:line="276" w:lineRule="auto"/>
      </w:pPr>
      <w:r>
        <w:rPr>
          <w:rFonts w:ascii="Calibri" w:hAnsi="Calibri"/>
          <w:color w:val="1E293B"/>
          <w:sz w:val="20"/>
        </w:rPr>
        <w:t>30,000</w:t>
      </w:r>
    </w:p>
    <w:p>
      <w:pPr>
        <w:pStyle w:val="Heading3"/>
        <w:spacing w:before="200" w:after="80"/>
      </w:pPr>
      <w:r>
        <w:rPr>
          <w:rFonts w:ascii="Calibri" w:hAnsi="Calibri"/>
          <w:color w:val="0F172A"/>
        </w:rPr>
        <w:t>Gross Margin Pct</w:t>
      </w:r>
    </w:p>
    <w:p>
      <w:pPr>
        <w:spacing w:after="120" w:line="276" w:lineRule="auto"/>
      </w:pPr>
      <w:r>
        <w:rPr>
          <w:rFonts w:ascii="Calibri" w:hAnsi="Calibri"/>
          <w:color w:val="1E293B"/>
          <w:sz w:val="20"/>
        </w:rPr>
        <w:t>70</w:t>
      </w:r>
    </w:p>
    <w:p>
      <w:pPr>
        <w:pStyle w:val="Heading3"/>
        <w:spacing w:before="200" w:after="80"/>
      </w:pPr>
      <w:r>
        <w:rPr>
          <w:rFonts w:ascii="Calibri" w:hAnsi="Calibri"/>
          <w:color w:val="0F172A"/>
        </w:rPr>
        <w:t>Monthly Burn Rate</w:t>
      </w:r>
    </w:p>
    <w:p>
      <w:pPr>
        <w:spacing w:after="120" w:line="276" w:lineRule="auto"/>
      </w:pPr>
      <w:r>
        <w:rPr>
          <w:rFonts w:ascii="Calibri" w:hAnsi="Calibri"/>
          <w:color w:val="1E293B"/>
          <w:sz w:val="20"/>
        </w:rPr>
        <w:t>25,000</w:t>
      </w:r>
    </w:p>
    <w:p>
      <w:pPr>
        <w:pStyle w:val="Heading3"/>
        <w:spacing w:before="200" w:after="80"/>
      </w:pPr>
      <w:r>
        <w:rPr>
          <w:rFonts w:ascii="Calibri" w:hAnsi="Calibri"/>
          <w:color w:val="0F172A"/>
        </w:rPr>
        <w:t>Runway Months</w:t>
      </w:r>
    </w:p>
    <w:p>
      <w:pPr>
        <w:spacing w:after="120" w:line="276" w:lineRule="auto"/>
      </w:pPr>
      <w:r>
        <w:rPr>
          <w:rFonts w:ascii="Calibri" w:hAnsi="Calibri"/>
          <w:color w:val="1E293B"/>
          <w:sz w:val="20"/>
        </w:rPr>
        <w:t>12</w:t>
      </w:r>
    </w:p>
    <w:p>
      <w:pPr>
        <w:pStyle w:val="Heading3"/>
        <w:spacing w:before="200" w:after="80"/>
      </w:pPr>
      <w:r>
        <w:rPr>
          <w:rFonts w:ascii="Calibri" w:hAnsi="Calibri"/>
          <w:color w:val="0F172A"/>
        </w:rPr>
        <w:t>Break Even Month</w:t>
      </w:r>
    </w:p>
    <w:p>
      <w:pPr>
        <w:spacing w:after="120" w:line="276" w:lineRule="auto"/>
      </w:pPr>
      <w:r>
        <w:rPr>
          <w:rFonts w:ascii="Calibri" w:hAnsi="Calibri"/>
          <w:color w:val="1E293B"/>
          <w:sz w:val="20"/>
        </w:rPr>
        <w:t>18</w:t>
      </w:r>
    </w:p>
    <w:p>
      <w:pPr>
        <w:pStyle w:val="Heading3"/>
        <w:spacing w:before="200" w:after="80"/>
      </w:pPr>
      <w:r>
        <w:rPr>
          <w:rFonts w:ascii="Calibri" w:hAnsi="Calibri"/>
          <w:color w:val="0F172A"/>
        </w:rPr>
        <w:t>Funding Requested</w:t>
      </w:r>
    </w:p>
    <w:p>
      <w:pPr>
        <w:spacing w:after="120" w:line="276" w:lineRule="auto"/>
      </w:pPr>
      <w:r>
        <w:rPr>
          <w:rFonts w:ascii="Calibri" w:hAnsi="Calibri"/>
          <w:color w:val="1E293B"/>
          <w:sz w:val="20"/>
        </w:rPr>
        <w:t>8,000,000</w:t>
      </w:r>
    </w:p>
    <w:p>
      <w:pPr>
        <w:pStyle w:val="Heading3"/>
        <w:spacing w:before="200" w:after="80"/>
      </w:pPr>
      <w:r>
        <w:rPr>
          <w:rFonts w:ascii="Calibri" w:hAnsi="Calibri"/>
          <w:color w:val="0F172A"/>
        </w:rPr>
        <w:t>Use Of Funds</w:t>
      </w:r>
    </w:p>
    <w:p>
      <w:pPr>
        <w:pStyle w:val="ListBullet"/>
        <w:spacing w:after="60" w:line="276" w:lineRule="auto"/>
      </w:pPr>
      <w:r>
        <w:rPr>
          <w:rFonts w:ascii="Calibri" w:hAnsi="Calibri"/>
          <w:color w:val="1E293B"/>
          <w:sz w:val="20"/>
        </w:rPr>
        <w:t>Data pipeline expansion &amp; model R&amp;D (30%)</w:t>
      </w:r>
    </w:p>
    <w:p>
      <w:pPr>
        <w:pStyle w:val="ListBullet"/>
        <w:spacing w:after="60" w:line="276" w:lineRule="auto"/>
      </w:pPr>
      <w:r>
        <w:rPr>
          <w:rFonts w:ascii="Calibri" w:hAnsi="Calibri"/>
          <w:color w:val="1E293B"/>
          <w:sz w:val="20"/>
        </w:rPr>
        <w:t>Compliance, security, and certification (HIPAA, SOC 2, ISO 27001) (20%)</w:t>
      </w:r>
    </w:p>
    <w:p>
      <w:pPr>
        <w:pStyle w:val="ListBullet"/>
        <w:spacing w:after="60" w:line="276" w:lineRule="auto"/>
      </w:pPr>
      <w:r>
        <w:rPr>
          <w:rFonts w:ascii="Calibri" w:hAnsi="Calibri"/>
          <w:color w:val="1E293B"/>
          <w:sz w:val="20"/>
        </w:rPr>
        <w:t>Sales &amp; marketing – pilot execution, ABM, channel partnerships (25%)</w:t>
      </w:r>
    </w:p>
    <w:p>
      <w:pPr>
        <w:pStyle w:val="ListBullet"/>
        <w:spacing w:after="60" w:line="276" w:lineRule="auto"/>
      </w:pPr>
      <w:r>
        <w:rPr>
          <w:rFonts w:ascii="Calibri" w:hAnsi="Calibri"/>
          <w:color w:val="1E293B"/>
          <w:sz w:val="20"/>
        </w:rPr>
        <w:t>Talent acquisition – data scientists, sales engineers, compliance officers (15%)</w:t>
      </w:r>
    </w:p>
    <w:p>
      <w:pPr>
        <w:pStyle w:val="ListBullet"/>
        <w:spacing w:after="60" w:line="276" w:lineRule="auto"/>
      </w:pPr>
      <w:r>
        <w:rPr>
          <w:rFonts w:ascii="Calibri" w:hAnsi="Calibri"/>
          <w:color w:val="1E293B"/>
          <w:sz w:val="20"/>
        </w:rPr>
        <w:t>Operating overhead &amp; contingency (10%)</w:t>
      </w:r>
    </w:p>
    <w:p>
      <w:pPr>
        <w:pStyle w:val="Heading3"/>
        <w:spacing w:before="200" w:after="80"/>
      </w:pPr>
      <w:r>
        <w:rPr>
          <w:rFonts w:ascii="Calibri" w:hAnsi="Calibri"/>
          <w:color w:val="0F172A"/>
        </w:rPr>
        <w:t>Financial Verdict</w:t>
      </w:r>
    </w:p>
    <w:p>
      <w:pPr>
        <w:spacing w:after="120" w:line="276" w:lineRule="auto"/>
      </w:pPr>
      <w:r>
        <w:rPr>
          <w:rFonts w:ascii="Calibri" w:hAnsi="Calibri"/>
          <w:color w:val="1E293B"/>
          <w:sz w:val="20"/>
        </w:rPr>
        <w:t>Revised assumptions bring CAC and LTV in line with enterprise SaaS benchmarks for the sports vertical; gross margin accounts for ongoing compliance and model‑maintenance costs, supporting a realistic path to profitability by Year 3.</w:t>
      </w:r>
    </w:p>
    <w:p>
      <w:pPr>
        <w:pStyle w:val="Heading2"/>
        <w:spacing w:before="200" w:after="80"/>
      </w:pPr>
      <w:r>
        <w:rPr>
          <w:rFonts w:ascii="Calibri" w:hAnsi="Calibri"/>
          <w:color w:val="4F46E5"/>
        </w:rPr>
        <w:t>Risk Mitigation Summary</w:t>
      </w:r>
    </w:p>
    <w:p>
      <w:pPr>
        <w:pStyle w:val="Heading3"/>
        <w:spacing w:before="200" w:after="80"/>
      </w:pPr>
      <w:r>
        <w:rPr>
          <w:rFonts w:ascii="Calibri" w:hAnsi="Calibri"/>
          <w:color w:val="0F172A"/>
        </w:rPr>
        <w:t>Key Risks</w:t>
      </w:r>
    </w:p>
    <w:p>
      <w:pPr>
        <w:pStyle w:val="ListBullet"/>
        <w:spacing w:after="60" w:line="276" w:lineRule="auto"/>
      </w:pPr>
      <w:r>
        <w:rPr>
          <w:rFonts w:ascii="Calibri" w:hAnsi="Calibri"/>
          <w:color w:val="1E293B"/>
          <w:sz w:val="20"/>
        </w:rPr>
        <w:t>Over‑inflated market sizing and adoption rates</w:t>
      </w:r>
    </w:p>
    <w:p>
      <w:pPr>
        <w:pStyle w:val="ListBullet"/>
        <w:spacing w:after="60" w:line="276" w:lineRule="auto"/>
      </w:pPr>
      <w:r>
        <w:rPr>
          <w:rFonts w:ascii="Calibri" w:hAnsi="Calibri"/>
          <w:color w:val="1E293B"/>
          <w:sz w:val="20"/>
        </w:rPr>
        <w:t>Data privacy &amp; regulatory compliance (HIPAA, GDPR, CCPA, COPPA)</w:t>
      </w:r>
    </w:p>
    <w:p>
      <w:pPr>
        <w:pStyle w:val="ListBullet"/>
        <w:spacing w:after="60" w:line="276" w:lineRule="auto"/>
      </w:pPr>
      <w:r>
        <w:rPr>
          <w:rFonts w:ascii="Calibri" w:hAnsi="Calibri"/>
          <w:color w:val="1E293B"/>
          <w:sz w:val="20"/>
        </w:rPr>
        <w:t>Model performance trust gap with coaches/medical staff</w:t>
      </w:r>
    </w:p>
    <w:p>
      <w:pPr>
        <w:pStyle w:val="ListBullet"/>
        <w:spacing w:after="60" w:line="276" w:lineRule="auto"/>
      </w:pPr>
      <w:r>
        <w:rPr>
          <w:rFonts w:ascii="Calibri" w:hAnsi="Calibri"/>
          <w:color w:val="1E293B"/>
          <w:sz w:val="20"/>
        </w:rPr>
        <w:t>Long, high‑touch sales cycles and higher-than‑expected CAC</w:t>
      </w:r>
    </w:p>
    <w:p>
      <w:pPr>
        <w:pStyle w:val="ListBullet"/>
        <w:spacing w:after="60" w:line="276" w:lineRule="auto"/>
      </w:pPr>
      <w:r>
        <w:rPr>
          <w:rFonts w:ascii="Calibri" w:hAnsi="Calibri"/>
          <w:color w:val="1E293B"/>
          <w:sz w:val="20"/>
        </w:rPr>
        <w:t>Security threats to biometric and health data</w:t>
      </w:r>
    </w:p>
    <w:p>
      <w:pPr>
        <w:pStyle w:val="Heading3"/>
        <w:spacing w:before="200" w:after="80"/>
      </w:pPr>
      <w:r>
        <w:rPr>
          <w:rFonts w:ascii="Calibri" w:hAnsi="Calibri"/>
          <w:color w:val="0F172A"/>
        </w:rPr>
        <w:t>Mitigation Actions</w:t>
      </w:r>
    </w:p>
    <w:p>
      <w:pPr>
        <w:pStyle w:val="ListBullet"/>
        <w:spacing w:after="60" w:line="276" w:lineRule="auto"/>
      </w:pPr>
      <w:r>
        <w:rPr>
          <w:rFonts w:ascii="Calibri" w:hAnsi="Calibri"/>
          <w:color w:val="1E293B"/>
          <w:sz w:val="20"/>
        </w:rPr>
        <w:t>Publish third‑party validation of data uniqueness and model accuracy; secure exclusive data partnerships with leading wearable OEMs.</w:t>
      </w:r>
    </w:p>
    <w:p>
      <w:pPr>
        <w:pStyle w:val="ListBullet"/>
        <w:spacing w:after="60" w:line="276" w:lineRule="auto"/>
      </w:pPr>
      <w:r>
        <w:rPr>
          <w:rFonts w:ascii="Calibri" w:hAnsi="Calibri"/>
          <w:color w:val="1E293B"/>
          <w:sz w:val="20"/>
        </w:rPr>
        <w:t>Execute Business Associate Agreements, implement end‑to‑end TLS/AES‑256 encryption, adopt OAuth 2.0 with least‑privilege scopes, and achieve SOC 2 Type II &amp; ISO 27001 certifications.</w:t>
      </w:r>
    </w:p>
    <w:p>
      <w:pPr>
        <w:pStyle w:val="ListBullet"/>
        <w:spacing w:after="60" w:line="276" w:lineRule="auto"/>
      </w:pPr>
      <w:r>
        <w:rPr>
          <w:rFonts w:ascii="Calibri" w:hAnsi="Calibri"/>
          <w:color w:val="1E293B"/>
          <w:sz w:val="20"/>
        </w:rPr>
        <w:t>Develop transparent model‑explainability dashboards and conduct bias/fairness audits to build clinician trust.</w:t>
      </w:r>
    </w:p>
    <w:p>
      <w:pPr>
        <w:pStyle w:val="ListBullet"/>
        <w:spacing w:after="60" w:line="276" w:lineRule="auto"/>
      </w:pPr>
      <w:r>
        <w:rPr>
          <w:rFonts w:ascii="Calibri" w:hAnsi="Calibri"/>
          <w:color w:val="1E293B"/>
          <w:sz w:val="20"/>
        </w:rPr>
        <w:t>Adjust sales compensation to reflect longer cycles; increase CAC budget to $8k and model 24‑month payback.</w:t>
      </w:r>
    </w:p>
    <w:p>
      <w:pPr>
        <w:pStyle w:val="ListBullet"/>
        <w:spacing w:after="60" w:line="276" w:lineRule="auto"/>
      </w:pPr>
      <w:r>
        <w:rPr>
          <w:rFonts w:ascii="Calibri" w:hAnsi="Calibri"/>
          <w:color w:val="1E293B"/>
          <w:sz w:val="20"/>
        </w:rPr>
        <w:t>Run continuous AI‑specific threat modeling, penetration testing, and adversarial‑robustness training.</w:t>
      </w:r>
    </w:p>
    <w:p>
      <w:pPr>
        <w:pStyle w:val="Heading3"/>
        <w:spacing w:before="200" w:after="80"/>
      </w:pPr>
      <w:r>
        <w:rPr>
          <w:rFonts w:ascii="Calibri" w:hAnsi="Calibri"/>
          <w:color w:val="0F172A"/>
        </w:rPr>
        <w:t>Overall Risk Rating</w:t>
      </w:r>
    </w:p>
    <w:p>
      <w:pPr>
        <w:spacing w:after="120" w:line="276" w:lineRule="auto"/>
      </w:pPr>
      <w:r>
        <w:rPr>
          <w:rFonts w:ascii="Calibri" w:hAnsi="Calibri"/>
          <w:color w:val="1E293B"/>
          <w:sz w:val="20"/>
        </w:rPr>
        <w:t>HIGH</w:t>
      </w:r>
    </w:p>
    <w:p>
      <w:pPr>
        <w:pStyle w:val="Heading2"/>
        <w:spacing w:before="200" w:after="80"/>
      </w:pPr>
      <w:r>
        <w:rPr>
          <w:rFonts w:ascii="Calibri" w:hAnsi="Calibri"/>
          <w:color w:val="4F46E5"/>
        </w:rPr>
        <w:t>Overall Score</w:t>
      </w:r>
    </w:p>
    <w:p>
      <w:pPr>
        <w:spacing w:after="120" w:line="276" w:lineRule="auto"/>
      </w:pPr>
      <w:r>
        <w:rPr>
          <w:rFonts w:ascii="Calibri" w:hAnsi="Calibri"/>
          <w:color w:val="1E293B"/>
          <w:sz w:val="20"/>
        </w:rPr>
        <w:t>79.80</w:t>
      </w:r>
    </w:p>
    <w:p>
      <w:pPr>
        <w:pStyle w:val="Heading2"/>
        <w:spacing w:before="200" w:after="80"/>
      </w:pPr>
      <w:r>
        <w:rPr>
          <w:rFonts w:ascii="Calibri" w:hAnsi="Calibri"/>
          <w:color w:val="4F46E5"/>
        </w:rPr>
        <w:t>Key Recommendations</w:t>
      </w:r>
    </w:p>
    <w:p>
      <w:pPr>
        <w:pStyle w:val="ListBullet"/>
        <w:spacing w:after="60" w:line="276" w:lineRule="auto"/>
      </w:pPr>
      <w:r>
        <w:rPr>
          <w:rFonts w:ascii="Calibri" w:hAnsi="Calibri"/>
          <w:color w:val="1E293B"/>
          <w:sz w:val="20"/>
        </w:rPr>
        <w:t>Refine TAM/SAM/SOM with verifiable club counts and budget data; adopt the $40M TAM figure for fundraising decks.</w:t>
      </w:r>
    </w:p>
    <w:p>
      <w:pPr>
        <w:pStyle w:val="ListBullet"/>
        <w:spacing w:after="60" w:line="276" w:lineRule="auto"/>
      </w:pPr>
      <w:r>
        <w:rPr>
          <w:rFonts w:ascii="Calibri" w:hAnsi="Calibri"/>
          <w:color w:val="1E293B"/>
          <w:sz w:val="20"/>
        </w:rPr>
        <w:t>Secure at least two marquee pilot contracts and publish quantified ROI (e.g., % reduction in injury‑related costs).</w:t>
      </w:r>
    </w:p>
    <w:p>
      <w:pPr>
        <w:pStyle w:val="ListBullet"/>
        <w:spacing w:after="60" w:line="276" w:lineRule="auto"/>
      </w:pPr>
      <w:r>
        <w:rPr>
          <w:rFonts w:ascii="Calibri" w:hAnsi="Calibri"/>
          <w:color w:val="1E293B"/>
          <w:sz w:val="20"/>
        </w:rPr>
        <w:t>Upgrade compliance infrastructure now to avoid costly retrofits; target SOC 2 certification within 12 months.</w:t>
      </w:r>
    </w:p>
    <w:p>
      <w:pPr>
        <w:pStyle w:val="ListBullet"/>
        <w:spacing w:after="60" w:line="276" w:lineRule="auto"/>
      </w:pPr>
      <w:r>
        <w:rPr>
          <w:rFonts w:ascii="Calibri" w:hAnsi="Calibri"/>
          <w:color w:val="1E293B"/>
          <w:sz w:val="20"/>
        </w:rPr>
        <w:t>Re‑model CAC/LTV assumptions to reflect a $8k CAC and $30k LTV, extending payback to 24 months.</w:t>
      </w:r>
    </w:p>
    <w:p>
      <w:pPr>
        <w:pStyle w:val="ListBullet"/>
        <w:spacing w:after="60" w:line="276" w:lineRule="auto"/>
      </w:pPr>
      <w:r>
        <w:rPr>
          <w:rFonts w:ascii="Calibri" w:hAnsi="Calibri"/>
          <w:color w:val="1E293B"/>
          <w:sz w:val="20"/>
        </w:rPr>
        <w:t>Invest in a dedicated sales engineering team to shorten integration timelines and improve win rates.</w:t>
      </w:r>
    </w:p>
    <w:p>
      <w:pPr>
        <w:pStyle w:val="ListBullet"/>
        <w:spacing w:after="60" w:line="276" w:lineRule="auto"/>
      </w:pPr>
      <w:r>
        <w:rPr>
          <w:rFonts w:ascii="Calibri" w:hAnsi="Calibri"/>
          <w:color w:val="1E293B"/>
          <w:sz w:val="20"/>
        </w:rPr>
        <w:t>Continue to protect the data moat through exclusive partnerships and periodic third‑party audits.</w:t>
      </w:r>
    </w:p>
    <w:p>
      <w:pPr>
        <w:spacing w:after="200"/>
      </w:pPr>
    </w:p>
    <w:p>
      <w:pPr>
        <w:pStyle w:val="Heading1"/>
        <w:spacing w:before="360" w:after="120"/>
      </w:pPr>
      <w:r>
        <w:rPr>
          <w:rFonts w:ascii="Calibri" w:hAnsi="Calibri"/>
          <w:b/>
          <w:color w:val="0F172A"/>
          <w:sz w:val="28"/>
        </w:rPr>
        <w:t>SECTION 6.0 — DETAILED FINANCIAL PROJECTION</w:t>
      </w:r>
    </w:p>
    <w:p>
      <w:pPr>
        <w:pStyle w:val="Heading2"/>
        <w:spacing w:before="200" w:after="80"/>
      </w:pPr>
      <w:r>
        <w:rPr>
          <w:rFonts w:ascii="Calibri" w:hAnsi="Calibri"/>
          <w:color w:val="4F46E5"/>
        </w:rPr>
        <w:t>Revenue Model Details</w:t>
      </w:r>
    </w:p>
    <w:p>
      <w:pPr>
        <w:pStyle w:val="Heading3"/>
        <w:spacing w:before="200" w:after="80"/>
      </w:pPr>
      <w:r>
        <w:rPr>
          <w:rFonts w:ascii="Calibri" w:hAnsi="Calibri"/>
          <w:color w:val="0F172A"/>
        </w:rPr>
        <w:t>Revenue Streams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F172A"/>
            <w:tcMar>
              <w:top w:w="120" w:type="dxa"/>
              <w:bottom w:w="120" w:type="dxa"/>
              <w:left w:w="150" w:type="dxa"/>
              <w:right w:w="150" w:type="dxa"/>
            </w:tcMar>
          </w:tcPr>
          <w:p>
            <w:pPr>
              <w:jc w:val="left"/>
            </w:pPr>
            <w:r>
              <w:rPr>
                <w:rFonts w:ascii="Calibri" w:hAnsi="Calibri"/>
                <w:b/>
                <w:color w:val="FFFFFF"/>
                <w:sz w:val="19"/>
              </w:rPr>
              <w:t>Stream Name</w:t>
            </w:r>
          </w:p>
        </w:tc>
        <w:tc>
          <w:tcPr>
            <w:tcW w:type="dxa" w:w="1872"/>
            <w:shd w:fill="0F172A"/>
            <w:tcMar>
              <w:top w:w="120" w:type="dxa"/>
              <w:bottom w:w="120" w:type="dxa"/>
              <w:left w:w="150" w:type="dxa"/>
              <w:right w:w="150" w:type="dxa"/>
            </w:tcMar>
          </w:tcPr>
          <w:p>
            <w:pPr>
              <w:jc w:val="left"/>
            </w:pPr>
            <w:r>
              <w:rPr>
                <w:rFonts w:ascii="Calibri" w:hAnsi="Calibri"/>
                <w:b/>
                <w:color w:val="FFFFFF"/>
                <w:sz w:val="19"/>
              </w:rPr>
              <w:t>Stream Description</w:t>
            </w:r>
          </w:p>
        </w:tc>
        <w:tc>
          <w:tcPr>
            <w:tcW w:type="dxa" w:w="1872"/>
            <w:shd w:fill="0F172A"/>
            <w:tcMar>
              <w:top w:w="120" w:type="dxa"/>
              <w:bottom w:w="120" w:type="dxa"/>
              <w:left w:w="150" w:type="dxa"/>
              <w:right w:w="150" w:type="dxa"/>
            </w:tcMar>
          </w:tcPr>
          <w:p>
            <w:pPr>
              <w:jc w:val="left"/>
            </w:pPr>
            <w:r>
              <w:rPr>
                <w:rFonts w:ascii="Calibri" w:hAnsi="Calibri"/>
                <w:b/>
                <w:color w:val="FFFFFF"/>
                <w:sz w:val="19"/>
              </w:rPr>
              <w:t>Stream Type</w:t>
            </w:r>
          </w:p>
        </w:tc>
        <w:tc>
          <w:tcPr>
            <w:tcW w:type="dxa" w:w="1872"/>
            <w:shd w:fill="0F172A"/>
            <w:tcMar>
              <w:top w:w="120" w:type="dxa"/>
              <w:bottom w:w="120" w:type="dxa"/>
              <w:left w:w="150" w:type="dxa"/>
              <w:right w:w="150" w:type="dxa"/>
            </w:tcMar>
          </w:tcPr>
          <w:p>
            <w:pPr>
              <w:jc w:val="left"/>
            </w:pPr>
            <w:r>
              <w:rPr>
                <w:rFonts w:ascii="Calibri" w:hAnsi="Calibri"/>
                <w:b/>
                <w:color w:val="FFFFFF"/>
                <w:sz w:val="19"/>
              </w:rPr>
              <w:t>Stream Currency</w:t>
            </w:r>
          </w:p>
        </w:tc>
        <w:tc>
          <w:tcPr>
            <w:tcW w:type="dxa" w:w="1872"/>
            <w:shd w:fill="0F172A"/>
            <w:tcMar>
              <w:top w:w="120" w:type="dxa"/>
              <w:bottom w:w="120" w:type="dxa"/>
              <w:left w:w="150" w:type="dxa"/>
              <w:right w:w="150" w:type="dxa"/>
            </w:tcMar>
          </w:tcPr>
          <w:p>
            <w:pPr>
              <w:jc w:val="left"/>
            </w:pPr>
            <w:r>
              <w:rPr>
                <w:rFonts w:ascii="Calibri" w:hAnsi="Calibri"/>
                <w:b/>
                <w:color w:val="FFFFFF"/>
                <w:sz w:val="19"/>
              </w:rPr>
              <w:t>Stream Revenue</w:t>
            </w:r>
          </w:p>
        </w:tc>
      </w:tr>
      <w:tr>
        <w:tc>
          <w:tcPr>
            <w:tcW w:type="dxa" w:w="1872"/>
            <w:shd w:fill="FFFFFF"/>
            <w:tcMar>
              <w:top w:w="100" w:type="dxa"/>
              <w:bottom w:w="100" w:type="dxa"/>
              <w:left w:w="150" w:type="dxa"/>
              <w:right w:w="150" w:type="dxa"/>
            </w:tcMar>
          </w:tcPr>
          <w:p>
            <w:r>
              <w:rPr>
                <w:rFonts w:ascii="Calibri" w:hAnsi="Calibri"/>
                <w:color w:val="1E293B"/>
                <w:sz w:val="18"/>
              </w:rPr>
              <w:t>Annual B2B SaaS enterprise subscription</w:t>
            </w:r>
          </w:p>
        </w:tc>
        <w:tc>
          <w:tcPr>
            <w:tcW w:type="dxa" w:w="1872"/>
            <w:shd w:fill="FFFFFF"/>
            <w:tcMar>
              <w:top w:w="100" w:type="dxa"/>
              <w:bottom w:w="100" w:type="dxa"/>
              <w:left w:w="150" w:type="dxa"/>
              <w:right w:w="150" w:type="dxa"/>
            </w:tcMar>
          </w:tcPr>
          <w:p>
            <w:r>
              <w:rPr>
                <w:rFonts w:ascii="Calibri" w:hAnsi="Calibri"/>
                <w:color w:val="1E293B"/>
                <w:sz w:val="18"/>
              </w:rPr>
              <w:t>Tiered subscription model for teams/rosters</w:t>
            </w:r>
          </w:p>
        </w:tc>
        <w:tc>
          <w:tcPr>
            <w:tcW w:type="dxa" w:w="1872"/>
            <w:shd w:fill="FFFFFF"/>
            <w:tcMar>
              <w:top w:w="100" w:type="dxa"/>
              <w:bottom w:w="100" w:type="dxa"/>
              <w:left w:w="150" w:type="dxa"/>
              <w:right w:w="150" w:type="dxa"/>
            </w:tcMar>
          </w:tcPr>
          <w:p>
            <w:r>
              <w:rPr>
                <w:rFonts w:ascii="Calibri" w:hAnsi="Calibri"/>
                <w:color w:val="1E293B"/>
                <w:sz w:val="18"/>
              </w:rPr>
              <w:t>Subscription</w:t>
            </w:r>
          </w:p>
        </w:tc>
        <w:tc>
          <w:tcPr>
            <w:tcW w:type="dxa" w:w="1872"/>
            <w:shd w:fill="FFFFFF"/>
            <w:tcMar>
              <w:top w:w="100" w:type="dxa"/>
              <w:bottom w:w="100" w:type="dxa"/>
              <w:left w:w="150" w:type="dxa"/>
              <w:right w:w="150" w:type="dxa"/>
            </w:tcMar>
          </w:tcPr>
          <w:p>
            <w:r>
              <w:rPr>
                <w:rFonts w:ascii="Calibri" w:hAnsi="Calibri"/>
                <w:color w:val="1E293B"/>
                <w:sz w:val="18"/>
              </w:rPr>
              <w:t>USD</w:t>
            </w:r>
          </w:p>
        </w:tc>
        <w:tc>
          <w:tcPr>
            <w:tcW w:type="dxa" w:w="1872"/>
            <w:shd w:fill="FFFFFF"/>
            <w:tcMar>
              <w:top w:w="100" w:type="dxa"/>
              <w:bottom w:w="100" w:type="dxa"/>
              <w:left w:w="150" w:type="dxa"/>
              <w:right w:w="150" w:type="dxa"/>
            </w:tcMar>
          </w:tcPr>
          <w:p>
            <w:r>
              <w:rPr>
                <w:rFonts w:ascii="Calibri" w:hAnsi="Calibri"/>
                <w:color w:val="1E293B"/>
                <w:sz w:val="18"/>
              </w:rPr>
              <w:t>• {'year': 2024, 'revenue': 1000000}</w:t>
              <w:br/>
              <w:t>• {'year': 2025, 'revenue': 1500000}</w:t>
              <w:br/>
              <w:t>• {'year': 2026, 'revenue': 2000000}</w:t>
            </w:r>
          </w:p>
        </w:tc>
      </w:tr>
      <w:tr>
        <w:tc>
          <w:tcPr>
            <w:tcW w:type="dxa" w:w="1872"/>
            <w:shd w:fill="F8FAFC"/>
            <w:tcMar>
              <w:top w:w="100" w:type="dxa"/>
              <w:bottom w:w="100" w:type="dxa"/>
              <w:left w:w="150" w:type="dxa"/>
              <w:right w:w="150" w:type="dxa"/>
            </w:tcMar>
          </w:tcPr>
          <w:p>
            <w:r>
              <w:rPr>
                <w:rFonts w:ascii="Calibri" w:hAnsi="Calibri"/>
                <w:color w:val="1E293B"/>
                <w:sz w:val="18"/>
              </w:rPr>
              <w:t>Premium Data Science-as-a-Service (DSaaS) consulting retainers</w:t>
            </w:r>
          </w:p>
        </w:tc>
        <w:tc>
          <w:tcPr>
            <w:tcW w:type="dxa" w:w="1872"/>
            <w:shd w:fill="F8FAFC"/>
            <w:tcMar>
              <w:top w:w="100" w:type="dxa"/>
              <w:bottom w:w="100" w:type="dxa"/>
              <w:left w:w="150" w:type="dxa"/>
              <w:right w:w="150" w:type="dxa"/>
            </w:tcMar>
          </w:tcPr>
          <w:p>
            <w:r>
              <w:rPr>
                <w:rFonts w:ascii="Calibri" w:hAnsi="Calibri"/>
                <w:color w:val="1E293B"/>
                <w:sz w:val="18"/>
              </w:rPr>
              <w:t>High-touch data science services for elite teams</w:t>
            </w:r>
          </w:p>
        </w:tc>
        <w:tc>
          <w:tcPr>
            <w:tcW w:type="dxa" w:w="1872"/>
            <w:shd w:fill="F8FAFC"/>
            <w:tcMar>
              <w:top w:w="100" w:type="dxa"/>
              <w:bottom w:w="100" w:type="dxa"/>
              <w:left w:w="150" w:type="dxa"/>
              <w:right w:w="150" w:type="dxa"/>
            </w:tcMar>
          </w:tcPr>
          <w:p>
            <w:r>
              <w:rPr>
                <w:rFonts w:ascii="Calibri" w:hAnsi="Calibri"/>
                <w:color w:val="1E293B"/>
                <w:sz w:val="18"/>
              </w:rPr>
              <w:t>Retainer</w:t>
            </w:r>
          </w:p>
        </w:tc>
        <w:tc>
          <w:tcPr>
            <w:tcW w:type="dxa" w:w="1872"/>
            <w:shd w:fill="F8FAFC"/>
            <w:tcMar>
              <w:top w:w="100" w:type="dxa"/>
              <w:bottom w:w="100" w:type="dxa"/>
              <w:left w:w="150" w:type="dxa"/>
              <w:right w:w="150" w:type="dxa"/>
            </w:tcMar>
          </w:tcPr>
          <w:p>
            <w:r>
              <w:rPr>
                <w:rFonts w:ascii="Calibri" w:hAnsi="Calibri"/>
                <w:color w:val="1E293B"/>
                <w:sz w:val="18"/>
              </w:rPr>
              <w:t>USD</w:t>
            </w:r>
          </w:p>
        </w:tc>
        <w:tc>
          <w:tcPr>
            <w:tcW w:type="dxa" w:w="1872"/>
            <w:shd w:fill="F8FAFC"/>
            <w:tcMar>
              <w:top w:w="100" w:type="dxa"/>
              <w:bottom w:w="100" w:type="dxa"/>
              <w:left w:w="150" w:type="dxa"/>
              <w:right w:w="150" w:type="dxa"/>
            </w:tcMar>
          </w:tcPr>
          <w:p>
            <w:r>
              <w:rPr>
                <w:rFonts w:ascii="Calibri" w:hAnsi="Calibri"/>
                <w:color w:val="1E293B"/>
                <w:sz w:val="18"/>
              </w:rPr>
              <w:t>• {'year': 2024, 'revenue': 500000}</w:t>
              <w:br/>
              <w:t>• {'year': 2025, 'revenue': 750000}</w:t>
              <w:br/>
              <w:t>• {'year': 2026, 'revenue': 1000000}</w:t>
            </w:r>
          </w:p>
        </w:tc>
      </w:tr>
    </w:tbl>
    <w:p>
      <w:pPr>
        <w:spacing w:after="160"/>
      </w:pPr>
    </w:p>
    <w:p>
      <w:pPr>
        <w:pStyle w:val="Heading2"/>
        <w:spacing w:before="200" w:after="80"/>
      </w:pPr>
      <w:r>
        <w:rPr>
          <w:rFonts w:ascii="Calibri" w:hAnsi="Calibri"/>
          <w:color w:val="4F46E5"/>
        </w:rPr>
        <w:t>Pricing Sanity Check</w:t>
      </w:r>
    </w:p>
    <w:p>
      <w:pPr>
        <w:pStyle w:val="Heading3"/>
        <w:spacing w:before="200" w:after="80"/>
      </w:pPr>
      <w:r>
        <w:rPr>
          <w:rFonts w:ascii="Calibri" w:hAnsi="Calibri"/>
          <w:color w:val="0F172A"/>
        </w:rPr>
        <w:t>Pricing Tiers</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Starter</w:t>
            </w:r>
          </w:p>
        </w:tc>
        <w:tc>
          <w:tcPr>
            <w:tcW w:type="dxa" w:w="5760"/>
            <w:shd w:fill="F8FAFC"/>
            <w:tcMar>
              <w:top w:w="80" w:type="dxa"/>
              <w:bottom w:w="80" w:type="dxa"/>
              <w:left w:w="120" w:type="dxa"/>
              <w:right w:w="120" w:type="dxa"/>
            </w:tcMar>
          </w:tcPr>
          <w:p>
            <w:r>
              <w:rPr>
                <w:rFonts w:ascii="Calibri" w:hAnsi="Calibri"/>
                <w:color w:val="1E293B"/>
                <w:sz w:val="19"/>
              </w:rPr>
              <w:t>299</w:t>
            </w:r>
          </w:p>
        </w:tc>
      </w:tr>
      <w:tr>
        <w:tc>
          <w:tcPr>
            <w:tcW w:type="dxa" w:w="3600"/>
            <w:shd w:fill="FFFFFF"/>
            <w:tcMar>
              <w:top w:w="80" w:type="dxa"/>
              <w:bottom w:w="80" w:type="dxa"/>
              <w:left w:w="120" w:type="dxa"/>
              <w:right w:w="120" w:type="dxa"/>
            </w:tcMar>
          </w:tcPr>
          <w:p>
            <w:r>
              <w:rPr>
                <w:rFonts w:ascii="Calibri" w:hAnsi="Calibri"/>
                <w:b/>
                <w:color w:val="0F172A"/>
                <w:sz w:val="19"/>
              </w:rPr>
              <w:t>Growth</w:t>
            </w:r>
          </w:p>
        </w:tc>
        <w:tc>
          <w:tcPr>
            <w:tcW w:type="dxa" w:w="5760"/>
            <w:shd w:fill="FFFFFF"/>
            <w:tcMar>
              <w:top w:w="80" w:type="dxa"/>
              <w:bottom w:w="80" w:type="dxa"/>
              <w:left w:w="120" w:type="dxa"/>
              <w:right w:w="120" w:type="dxa"/>
            </w:tcMar>
          </w:tcPr>
          <w:p>
            <w:r>
              <w:rPr>
                <w:rFonts w:ascii="Calibri" w:hAnsi="Calibri"/>
                <w:color w:val="1E293B"/>
                <w:sz w:val="19"/>
              </w:rPr>
              <w:t>799</w:t>
            </w:r>
          </w:p>
        </w:tc>
      </w:tr>
      <w:tr>
        <w:tc>
          <w:tcPr>
            <w:tcW w:type="dxa" w:w="3600"/>
            <w:shd w:fill="F8FAFC"/>
            <w:tcMar>
              <w:top w:w="80" w:type="dxa"/>
              <w:bottom w:w="80" w:type="dxa"/>
              <w:left w:w="120" w:type="dxa"/>
              <w:right w:w="120" w:type="dxa"/>
            </w:tcMar>
          </w:tcPr>
          <w:p>
            <w:r>
              <w:rPr>
                <w:rFonts w:ascii="Calibri" w:hAnsi="Calibri"/>
                <w:b/>
                <w:color w:val="0F172A"/>
                <w:sz w:val="19"/>
              </w:rPr>
              <w:t>Enterprise</w:t>
            </w:r>
          </w:p>
        </w:tc>
        <w:tc>
          <w:tcPr>
            <w:tcW w:type="dxa" w:w="5760"/>
            <w:shd w:fill="F8FAFC"/>
            <w:tcMar>
              <w:top w:w="80" w:type="dxa"/>
              <w:bottom w:w="80" w:type="dxa"/>
              <w:left w:w="120" w:type="dxa"/>
              <w:right w:w="120" w:type="dxa"/>
            </w:tcMar>
          </w:tcPr>
          <w:p>
            <w:r>
              <w:rPr>
                <w:rFonts w:ascii="Calibri" w:hAnsi="Calibri"/>
                <w:color w:val="1E293B"/>
                <w:sz w:val="19"/>
              </w:rPr>
              <w:t>1,999</w:t>
            </w:r>
          </w:p>
        </w:tc>
      </w:tr>
    </w:tbl>
    <w:p>
      <w:pPr>
        <w:spacing w:after="160"/>
      </w:pPr>
    </w:p>
    <w:p>
      <w:pPr>
        <w:pStyle w:val="Heading3"/>
        <w:spacing w:before="200" w:after="80"/>
      </w:pPr>
      <w:r>
        <w:rPr>
          <w:rFonts w:ascii="Calibri" w:hAnsi="Calibri"/>
          <w:color w:val="0F172A"/>
        </w:rPr>
        <w:t>Pricing Display</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Starter</w:t>
            </w:r>
          </w:p>
        </w:tc>
        <w:tc>
          <w:tcPr>
            <w:tcW w:type="dxa" w:w="5760"/>
            <w:shd w:fill="F8FAFC"/>
            <w:tcMar>
              <w:top w:w="80" w:type="dxa"/>
              <w:bottom w:w="80" w:type="dxa"/>
              <w:left w:w="120" w:type="dxa"/>
              <w:right w:w="120" w:type="dxa"/>
            </w:tcMar>
          </w:tcPr>
          <w:p>
            <w:r>
              <w:rPr>
                <w:rFonts w:ascii="Calibri" w:hAnsi="Calibri"/>
                <w:color w:val="1E293B"/>
                <w:sz w:val="19"/>
              </w:rPr>
              <w:t>$299/mo</w:t>
            </w:r>
          </w:p>
        </w:tc>
      </w:tr>
      <w:tr>
        <w:tc>
          <w:tcPr>
            <w:tcW w:type="dxa" w:w="3600"/>
            <w:shd w:fill="FFFFFF"/>
            <w:tcMar>
              <w:top w:w="80" w:type="dxa"/>
              <w:bottom w:w="80" w:type="dxa"/>
              <w:left w:w="120" w:type="dxa"/>
              <w:right w:w="120" w:type="dxa"/>
            </w:tcMar>
          </w:tcPr>
          <w:p>
            <w:r>
              <w:rPr>
                <w:rFonts w:ascii="Calibri" w:hAnsi="Calibri"/>
                <w:b/>
                <w:color w:val="0F172A"/>
                <w:sz w:val="19"/>
              </w:rPr>
              <w:t>Growth</w:t>
            </w:r>
          </w:p>
        </w:tc>
        <w:tc>
          <w:tcPr>
            <w:tcW w:type="dxa" w:w="5760"/>
            <w:shd w:fill="FFFFFF"/>
            <w:tcMar>
              <w:top w:w="80" w:type="dxa"/>
              <w:bottom w:w="80" w:type="dxa"/>
              <w:left w:w="120" w:type="dxa"/>
              <w:right w:w="120" w:type="dxa"/>
            </w:tcMar>
          </w:tcPr>
          <w:p>
            <w:r>
              <w:rPr>
                <w:rFonts w:ascii="Calibri" w:hAnsi="Calibri"/>
                <w:color w:val="1E293B"/>
                <w:sz w:val="19"/>
              </w:rPr>
              <w:t>$799/mo</w:t>
            </w:r>
          </w:p>
        </w:tc>
      </w:tr>
      <w:tr>
        <w:tc>
          <w:tcPr>
            <w:tcW w:type="dxa" w:w="3600"/>
            <w:shd w:fill="F8FAFC"/>
            <w:tcMar>
              <w:top w:w="80" w:type="dxa"/>
              <w:bottom w:w="80" w:type="dxa"/>
              <w:left w:w="120" w:type="dxa"/>
              <w:right w:w="120" w:type="dxa"/>
            </w:tcMar>
          </w:tcPr>
          <w:p>
            <w:r>
              <w:rPr>
                <w:rFonts w:ascii="Calibri" w:hAnsi="Calibri"/>
                <w:b/>
                <w:color w:val="0F172A"/>
                <w:sz w:val="19"/>
              </w:rPr>
              <w:t>Enterprise</w:t>
            </w:r>
          </w:p>
        </w:tc>
        <w:tc>
          <w:tcPr>
            <w:tcW w:type="dxa" w:w="5760"/>
            <w:shd w:fill="F8FAFC"/>
            <w:tcMar>
              <w:top w:w="80" w:type="dxa"/>
              <w:bottom w:w="80" w:type="dxa"/>
              <w:left w:w="120" w:type="dxa"/>
              <w:right w:w="120" w:type="dxa"/>
            </w:tcMar>
          </w:tcPr>
          <w:p>
            <w:r>
              <w:rPr>
                <w:rFonts w:ascii="Calibri" w:hAnsi="Calibri"/>
                <w:color w:val="1E293B"/>
                <w:sz w:val="19"/>
              </w:rPr>
              <w:t>$1,999/mo</w:t>
            </w:r>
          </w:p>
        </w:tc>
      </w:tr>
    </w:tbl>
    <w:p>
      <w:pPr>
        <w:spacing w:after="160"/>
      </w:pPr>
    </w:p>
    <w:p>
      <w:pPr>
        <w:pStyle w:val="Heading3"/>
        <w:spacing w:before="200" w:after="80"/>
      </w:pPr>
      <w:r>
        <w:rPr>
          <w:rFonts w:ascii="Calibri" w:hAnsi="Calibri"/>
          <w:color w:val="0F172A"/>
        </w:rPr>
        <w:t>Currency Used</w:t>
      </w:r>
    </w:p>
    <w:p>
      <w:pPr>
        <w:spacing w:after="120" w:line="276" w:lineRule="auto"/>
      </w:pPr>
      <w:r>
        <w:rPr>
          <w:rFonts w:ascii="Calibri" w:hAnsi="Calibri"/>
          <w:color w:val="1E293B"/>
          <w:sz w:val="20"/>
        </w:rPr>
        <w:t>USD</w:t>
      </w:r>
    </w:p>
    <w:p>
      <w:pPr>
        <w:pStyle w:val="Heading3"/>
        <w:spacing w:before="200" w:after="80"/>
      </w:pPr>
      <w:r>
        <w:rPr>
          <w:rFonts w:ascii="Calibri" w:hAnsi="Calibri"/>
          <w:color w:val="0F172A"/>
        </w:rPr>
        <w:t>Cac Estimate</w:t>
      </w:r>
    </w:p>
    <w:p>
      <w:pPr>
        <w:spacing w:after="120" w:line="276" w:lineRule="auto"/>
      </w:pPr>
      <w:r>
        <w:rPr>
          <w:rFonts w:ascii="Calibri" w:hAnsi="Calibri"/>
          <w:color w:val="1E293B"/>
          <w:sz w:val="20"/>
        </w:rPr>
        <w:t>2,500</w:t>
      </w:r>
    </w:p>
    <w:p>
      <w:pPr>
        <w:pStyle w:val="Heading3"/>
        <w:spacing w:before="200" w:after="80"/>
      </w:pPr>
      <w:r>
        <w:rPr>
          <w:rFonts w:ascii="Calibri" w:hAnsi="Calibri"/>
          <w:color w:val="0F172A"/>
        </w:rPr>
        <w:t>Ltv Estimate</w:t>
      </w:r>
    </w:p>
    <w:p>
      <w:pPr>
        <w:spacing w:after="120" w:line="276" w:lineRule="auto"/>
      </w:pPr>
      <w:r>
        <w:rPr>
          <w:rFonts w:ascii="Calibri" w:hAnsi="Calibri"/>
          <w:color w:val="1E293B"/>
          <w:sz w:val="20"/>
        </w:rPr>
        <w:t>11,250</w:t>
      </w:r>
    </w:p>
    <w:p>
      <w:pPr>
        <w:pStyle w:val="Heading3"/>
        <w:spacing w:before="200" w:after="80"/>
      </w:pPr>
      <w:r>
        <w:rPr>
          <w:rFonts w:ascii="Calibri" w:hAnsi="Calibri"/>
          <w:color w:val="0F172A"/>
        </w:rPr>
        <w:t>Gross Margin Pct</w:t>
      </w:r>
    </w:p>
    <w:p>
      <w:pPr>
        <w:spacing w:after="120" w:line="276" w:lineRule="auto"/>
      </w:pPr>
      <w:r>
        <w:rPr>
          <w:rFonts w:ascii="Calibri" w:hAnsi="Calibri"/>
          <w:color w:val="1E293B"/>
          <w:sz w:val="20"/>
        </w:rPr>
        <w:t>82</w:t>
      </w:r>
    </w:p>
    <w:p>
      <w:pPr>
        <w:pStyle w:val="Heading3"/>
        <w:spacing w:before="200" w:after="80"/>
      </w:pPr>
      <w:r>
        <w:rPr>
          <w:rFonts w:ascii="Calibri" w:hAnsi="Calibri"/>
          <w:color w:val="0F172A"/>
        </w:rPr>
        <w:t>Monthly Burn Rate</w:t>
      </w:r>
    </w:p>
    <w:p>
      <w:pPr>
        <w:spacing w:after="120" w:line="276" w:lineRule="auto"/>
      </w:pPr>
      <w:r>
        <w:rPr>
          <w:rFonts w:ascii="Calibri" w:hAnsi="Calibri"/>
          <w:color w:val="1E293B"/>
          <w:sz w:val="20"/>
        </w:rPr>
        <w:t>20,833.33</w:t>
      </w:r>
    </w:p>
    <w:p>
      <w:pPr>
        <w:pStyle w:val="Heading3"/>
        <w:spacing w:before="200" w:after="80"/>
      </w:pPr>
      <w:r>
        <w:rPr>
          <w:rFonts w:ascii="Calibri" w:hAnsi="Calibri"/>
          <w:color w:val="0F172A"/>
        </w:rPr>
        <w:t>Runway Months</w:t>
      </w:r>
    </w:p>
    <w:p>
      <w:pPr>
        <w:spacing w:after="120" w:line="276" w:lineRule="auto"/>
      </w:pPr>
      <w:r>
        <w:rPr>
          <w:rFonts w:ascii="Calibri" w:hAnsi="Calibri"/>
          <w:color w:val="1E293B"/>
          <w:sz w:val="20"/>
        </w:rPr>
        <w:t>12</w:t>
      </w:r>
    </w:p>
    <w:p>
      <w:pPr>
        <w:pStyle w:val="Heading3"/>
        <w:spacing w:before="200" w:after="80"/>
      </w:pPr>
      <w:r>
        <w:rPr>
          <w:rFonts w:ascii="Calibri" w:hAnsi="Calibri"/>
          <w:color w:val="0F172A"/>
        </w:rPr>
        <w:t>Break Even Month</w:t>
      </w:r>
    </w:p>
    <w:p>
      <w:pPr>
        <w:spacing w:after="120" w:line="276" w:lineRule="auto"/>
      </w:pPr>
      <w:r>
        <w:rPr>
          <w:rFonts w:ascii="Calibri" w:hAnsi="Calibri"/>
          <w:color w:val="1E293B"/>
          <w:sz w:val="20"/>
        </w:rPr>
        <w:t>12</w:t>
      </w:r>
    </w:p>
    <w:p>
      <w:pPr>
        <w:pStyle w:val="Heading3"/>
        <w:spacing w:before="200" w:after="80"/>
      </w:pPr>
      <w:r>
        <w:rPr>
          <w:rFonts w:ascii="Calibri" w:hAnsi="Calibri"/>
          <w:color w:val="0F172A"/>
        </w:rPr>
        <w:t>Financial Verdict</w:t>
      </w:r>
    </w:p>
    <w:p>
      <w:pPr>
        <w:spacing w:after="120" w:line="276" w:lineRule="auto"/>
      </w:pPr>
      <w:r>
        <w:rPr>
          <w:rFonts w:ascii="Calibri" w:hAnsi="Calibri"/>
          <w:color w:val="1E293B"/>
          <w:sz w:val="20"/>
        </w:rPr>
        <w:t>Pricing aligns with B2B SaaS benchmarks; CAC payback and LTV/CAC ratio are within target ranges, supporting sustainable growth.</w:t>
      </w:r>
    </w:p>
    <w:p>
      <w:pPr>
        <w:pStyle w:val="Heading2"/>
        <w:spacing w:before="200" w:after="80"/>
      </w:pPr>
      <w:r>
        <w:rPr>
          <w:rFonts w:ascii="Calibri" w:hAnsi="Calibri"/>
          <w:color w:val="4F46E5"/>
        </w:rPr>
        <w:t>Capital Requirements</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Initial Investment</w:t>
            </w:r>
          </w:p>
        </w:tc>
        <w:tc>
          <w:tcPr>
            <w:tcW w:type="dxa" w:w="5760"/>
            <w:shd w:fill="F8FAFC"/>
            <w:tcMar>
              <w:top w:w="80" w:type="dxa"/>
              <w:bottom w:w="80" w:type="dxa"/>
              <w:left w:w="120" w:type="dxa"/>
              <w:right w:w="120" w:type="dxa"/>
            </w:tcMar>
          </w:tcPr>
          <w:p>
            <w:r>
              <w:rPr>
                <w:rFonts w:ascii="Calibri" w:hAnsi="Calibri"/>
                <w:color w:val="1E293B"/>
                <w:sz w:val="19"/>
              </w:rPr>
              <w:t>8,000,000</w:t>
            </w:r>
          </w:p>
        </w:tc>
      </w:tr>
      <w:tr>
        <w:tc>
          <w:tcPr>
            <w:tcW w:type="dxa" w:w="3600"/>
            <w:shd w:fill="FFFFFF"/>
            <w:tcMar>
              <w:top w:w="80" w:type="dxa"/>
              <w:bottom w:w="80" w:type="dxa"/>
              <w:left w:w="120" w:type="dxa"/>
              <w:right w:w="120" w:type="dxa"/>
            </w:tcMar>
          </w:tcPr>
          <w:p>
            <w:r>
              <w:rPr>
                <w:rFonts w:ascii="Calibri" w:hAnsi="Calibri"/>
                <w:b/>
                <w:color w:val="0F172A"/>
                <w:sz w:val="19"/>
              </w:rPr>
              <w:t>Projected Revenue</w:t>
            </w:r>
          </w:p>
        </w:tc>
        <w:tc>
          <w:tcPr>
            <w:tcW w:type="dxa" w:w="5760"/>
            <w:shd w:fill="FFFFFF"/>
            <w:tcMar>
              <w:top w:w="80" w:type="dxa"/>
              <w:bottom w:w="80" w:type="dxa"/>
              <w:left w:w="120" w:type="dxa"/>
              <w:right w:w="120" w:type="dxa"/>
            </w:tcMar>
          </w:tcPr>
          <w:p>
            <w:r>
              <w:rPr>
                <w:rFonts w:ascii="Calibri" w:hAnsi="Calibri"/>
                <w:color w:val="1E293B"/>
                <w:sz w:val="19"/>
              </w:rPr>
              <w:t>3,000,000</w:t>
            </w:r>
          </w:p>
        </w:tc>
      </w:tr>
      <w:tr>
        <w:tc>
          <w:tcPr>
            <w:tcW w:type="dxa" w:w="3600"/>
            <w:shd w:fill="F8FAFC"/>
            <w:tcMar>
              <w:top w:w="80" w:type="dxa"/>
              <w:bottom w:w="80" w:type="dxa"/>
              <w:left w:w="120" w:type="dxa"/>
              <w:right w:w="120" w:type="dxa"/>
            </w:tcMar>
          </w:tcPr>
          <w:p>
            <w:r>
              <w:rPr>
                <w:rFonts w:ascii="Calibri" w:hAnsi="Calibri"/>
                <w:b/>
                <w:color w:val="0F172A"/>
                <w:sz w:val="19"/>
              </w:rPr>
              <w:t>Projected Expenses</w:t>
            </w:r>
          </w:p>
        </w:tc>
        <w:tc>
          <w:tcPr>
            <w:tcW w:type="dxa" w:w="5760"/>
            <w:shd w:fill="F8FAFC"/>
            <w:tcMar>
              <w:top w:w="80" w:type="dxa"/>
              <w:bottom w:w="80" w:type="dxa"/>
              <w:left w:w="120" w:type="dxa"/>
              <w:right w:w="120" w:type="dxa"/>
            </w:tcMar>
          </w:tcPr>
          <w:p>
            <w:r>
              <w:rPr>
                <w:rFonts w:ascii="Calibri" w:hAnsi="Calibri"/>
                <w:color w:val="1E293B"/>
                <w:sz w:val="19"/>
              </w:rPr>
              <w:t>2,500,000</w:t>
            </w:r>
          </w:p>
        </w:tc>
      </w:tr>
      <w:tr>
        <w:tc>
          <w:tcPr>
            <w:tcW w:type="dxa" w:w="3600"/>
            <w:shd w:fill="FFFFFF"/>
            <w:tcMar>
              <w:top w:w="80" w:type="dxa"/>
              <w:bottom w:w="80" w:type="dxa"/>
              <w:left w:w="120" w:type="dxa"/>
              <w:right w:w="120" w:type="dxa"/>
            </w:tcMar>
          </w:tcPr>
          <w:p>
            <w:r>
              <w:rPr>
                <w:rFonts w:ascii="Calibri" w:hAnsi="Calibri"/>
                <w:b/>
                <w:color w:val="0F172A"/>
                <w:sz w:val="19"/>
              </w:rPr>
              <w:t>Projected Cash Flow</w:t>
            </w:r>
          </w:p>
        </w:tc>
        <w:tc>
          <w:tcPr>
            <w:tcW w:type="dxa" w:w="5760"/>
            <w:shd w:fill="FFFFFF"/>
            <w:tcMar>
              <w:top w:w="80" w:type="dxa"/>
              <w:bottom w:w="80" w:type="dxa"/>
              <w:left w:w="120" w:type="dxa"/>
              <w:right w:w="120" w:type="dxa"/>
            </w:tcMar>
          </w:tcPr>
          <w:p>
            <w:r>
              <w:rPr>
                <w:rFonts w:ascii="Calibri" w:hAnsi="Calibri"/>
                <w:color w:val="1E293B"/>
                <w:sz w:val="19"/>
              </w:rPr>
              <w:t>500,000</w:t>
            </w:r>
          </w:p>
        </w:tc>
      </w:tr>
      <w:tr>
        <w:tc>
          <w:tcPr>
            <w:tcW w:type="dxa" w:w="3600"/>
            <w:shd w:fill="F8FAFC"/>
            <w:tcMar>
              <w:top w:w="80" w:type="dxa"/>
              <w:bottom w:w="80" w:type="dxa"/>
              <w:left w:w="120" w:type="dxa"/>
              <w:right w:w="120" w:type="dxa"/>
            </w:tcMar>
          </w:tcPr>
          <w:p>
            <w:r>
              <w:rPr>
                <w:rFonts w:ascii="Calibri" w:hAnsi="Calibri"/>
                <w:b/>
                <w:color w:val="0F172A"/>
                <w:sz w:val="19"/>
              </w:rPr>
              <w:t>Projected Break Even</w:t>
            </w:r>
          </w:p>
        </w:tc>
        <w:tc>
          <w:tcPr>
            <w:tcW w:type="dxa" w:w="5760"/>
            <w:shd w:fill="F8FAFC"/>
            <w:tcMar>
              <w:top w:w="80" w:type="dxa"/>
              <w:bottom w:w="80" w:type="dxa"/>
              <w:left w:w="120" w:type="dxa"/>
              <w:right w:w="120" w:type="dxa"/>
            </w:tcMar>
          </w:tcPr>
          <w:p>
            <w:r>
              <w:rPr>
                <w:rFonts w:ascii="Calibri" w:hAnsi="Calibri"/>
                <w:color w:val="1E293B"/>
                <w:sz w:val="19"/>
              </w:rPr>
              <w:t>12</w:t>
            </w:r>
          </w:p>
        </w:tc>
      </w:tr>
      <w:tr>
        <w:tc>
          <w:tcPr>
            <w:tcW w:type="dxa" w:w="3600"/>
            <w:shd w:fill="FFFFFF"/>
            <w:tcMar>
              <w:top w:w="80" w:type="dxa"/>
              <w:bottom w:w="80" w:type="dxa"/>
              <w:left w:w="120" w:type="dxa"/>
              <w:right w:w="120" w:type="dxa"/>
            </w:tcMar>
          </w:tcPr>
          <w:p>
            <w:r>
              <w:rPr>
                <w:rFonts w:ascii="Calibri" w:hAnsi="Calibri"/>
                <w:b/>
                <w:color w:val="0F172A"/>
                <w:sz w:val="19"/>
              </w:rPr>
              <w:t>Projected Runway</w:t>
            </w:r>
          </w:p>
        </w:tc>
        <w:tc>
          <w:tcPr>
            <w:tcW w:type="dxa" w:w="5760"/>
            <w:shd w:fill="FFFFFF"/>
            <w:tcMar>
              <w:top w:w="80" w:type="dxa"/>
              <w:bottom w:w="80" w:type="dxa"/>
              <w:left w:w="120" w:type="dxa"/>
              <w:right w:w="120" w:type="dxa"/>
            </w:tcMar>
          </w:tcPr>
          <w:p>
            <w:r>
              <w:rPr>
                <w:rFonts w:ascii="Calibri" w:hAnsi="Calibri"/>
                <w:color w:val="1E293B"/>
                <w:sz w:val="19"/>
              </w:rPr>
              <w:t>12</w:t>
            </w:r>
          </w:p>
        </w:tc>
      </w:tr>
    </w:tbl>
    <w:p>
      <w:pPr>
        <w:spacing w:after="160"/>
      </w:pPr>
    </w:p>
    <w:p>
      <w:pPr>
        <w:pStyle w:val="Heading2"/>
        <w:spacing w:before="200" w:after="80"/>
      </w:pPr>
      <w:r>
        <w:rPr>
          <w:rFonts w:ascii="Calibri" w:hAnsi="Calibri"/>
          <w:color w:val="4F46E5"/>
        </w:rPr>
        <w:t>Break Even Analysis</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Break Even Month</w:t>
            </w:r>
          </w:p>
        </w:tc>
        <w:tc>
          <w:tcPr>
            <w:tcW w:type="dxa" w:w="5760"/>
            <w:shd w:fill="F8FAFC"/>
            <w:tcMar>
              <w:top w:w="80" w:type="dxa"/>
              <w:bottom w:w="80" w:type="dxa"/>
              <w:left w:w="120" w:type="dxa"/>
              <w:right w:w="120" w:type="dxa"/>
            </w:tcMar>
          </w:tcPr>
          <w:p>
            <w:r>
              <w:rPr>
                <w:rFonts w:ascii="Calibri" w:hAnsi="Calibri"/>
                <w:color w:val="1E293B"/>
                <w:sz w:val="19"/>
              </w:rPr>
              <w:t>12</w:t>
            </w:r>
          </w:p>
        </w:tc>
      </w:tr>
      <w:tr>
        <w:tc>
          <w:tcPr>
            <w:tcW w:type="dxa" w:w="3600"/>
            <w:shd w:fill="FFFFFF"/>
            <w:tcMar>
              <w:top w:w="80" w:type="dxa"/>
              <w:bottom w:w="80" w:type="dxa"/>
              <w:left w:w="120" w:type="dxa"/>
              <w:right w:w="120" w:type="dxa"/>
            </w:tcMar>
          </w:tcPr>
          <w:p>
            <w:r>
              <w:rPr>
                <w:rFonts w:ascii="Calibri" w:hAnsi="Calibri"/>
                <w:b/>
                <w:color w:val="0F172A"/>
                <w:sz w:val="19"/>
              </w:rPr>
              <w:t>Break Even Revenue</w:t>
            </w:r>
          </w:p>
        </w:tc>
        <w:tc>
          <w:tcPr>
            <w:tcW w:type="dxa" w:w="5760"/>
            <w:shd w:fill="FFFFFF"/>
            <w:tcMar>
              <w:top w:w="80" w:type="dxa"/>
              <w:bottom w:w="80" w:type="dxa"/>
              <w:left w:w="120" w:type="dxa"/>
              <w:right w:w="120" w:type="dxa"/>
            </w:tcMar>
          </w:tcPr>
          <w:p>
            <w:r>
              <w:rPr>
                <w:rFonts w:ascii="Calibri" w:hAnsi="Calibri"/>
                <w:color w:val="1E293B"/>
                <w:sz w:val="19"/>
              </w:rPr>
              <w:t>1,000,000</w:t>
            </w:r>
          </w:p>
        </w:tc>
      </w:tr>
      <w:tr>
        <w:tc>
          <w:tcPr>
            <w:tcW w:type="dxa" w:w="3600"/>
            <w:shd w:fill="F8FAFC"/>
            <w:tcMar>
              <w:top w:w="80" w:type="dxa"/>
              <w:bottom w:w="80" w:type="dxa"/>
              <w:left w:w="120" w:type="dxa"/>
              <w:right w:w="120" w:type="dxa"/>
            </w:tcMar>
          </w:tcPr>
          <w:p>
            <w:r>
              <w:rPr>
                <w:rFonts w:ascii="Calibri" w:hAnsi="Calibri"/>
                <w:b/>
                <w:color w:val="0F172A"/>
                <w:sz w:val="19"/>
              </w:rPr>
              <w:t>Break Even Expenses</w:t>
            </w:r>
          </w:p>
        </w:tc>
        <w:tc>
          <w:tcPr>
            <w:tcW w:type="dxa" w:w="5760"/>
            <w:shd w:fill="F8FAFC"/>
            <w:tcMar>
              <w:top w:w="80" w:type="dxa"/>
              <w:bottom w:w="80" w:type="dxa"/>
              <w:left w:w="120" w:type="dxa"/>
              <w:right w:w="120" w:type="dxa"/>
            </w:tcMar>
          </w:tcPr>
          <w:p>
            <w:r>
              <w:rPr>
                <w:rFonts w:ascii="Calibri" w:hAnsi="Calibri"/>
                <w:color w:val="1E293B"/>
                <w:sz w:val="19"/>
              </w:rPr>
              <w:t>833,333.33</w:t>
            </w:r>
          </w:p>
        </w:tc>
      </w:tr>
      <w:tr>
        <w:tc>
          <w:tcPr>
            <w:tcW w:type="dxa" w:w="3600"/>
            <w:shd w:fill="FFFFFF"/>
            <w:tcMar>
              <w:top w:w="80" w:type="dxa"/>
              <w:bottom w:w="80" w:type="dxa"/>
              <w:left w:w="120" w:type="dxa"/>
              <w:right w:w="120" w:type="dxa"/>
            </w:tcMar>
          </w:tcPr>
          <w:p>
            <w:r>
              <w:rPr>
                <w:rFonts w:ascii="Calibri" w:hAnsi="Calibri"/>
                <w:b/>
                <w:color w:val="0F172A"/>
                <w:sz w:val="19"/>
              </w:rPr>
              <w:t>Break Even Cash Flow</w:t>
            </w:r>
          </w:p>
        </w:tc>
        <w:tc>
          <w:tcPr>
            <w:tcW w:type="dxa" w:w="5760"/>
            <w:shd w:fill="FFFFFF"/>
            <w:tcMar>
              <w:top w:w="80" w:type="dxa"/>
              <w:bottom w:w="80" w:type="dxa"/>
              <w:left w:w="120" w:type="dxa"/>
              <w:right w:w="120" w:type="dxa"/>
            </w:tcMar>
          </w:tcPr>
          <w:p>
            <w:r>
              <w:rPr>
                <w:rFonts w:ascii="Calibri" w:hAnsi="Calibri"/>
                <w:color w:val="1E293B"/>
                <w:sz w:val="19"/>
              </w:rPr>
              <w:t>166,666.67</w:t>
            </w:r>
          </w:p>
        </w:tc>
      </w:tr>
    </w:tbl>
    <w:p>
      <w:pPr>
        <w:spacing w:after="160"/>
      </w:pPr>
    </w:p>
    <w:p>
      <w:pPr>
        <w:pStyle w:val="Heading2"/>
        <w:spacing w:before="200" w:after="80"/>
      </w:pPr>
      <w:r>
        <w:rPr>
          <w:rFonts w:ascii="Calibri" w:hAnsi="Calibri"/>
          <w:color w:val="4F46E5"/>
        </w:rPr>
        <w:t>Scoring Context</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Overall Score</w:t>
            </w:r>
          </w:p>
        </w:tc>
        <w:tc>
          <w:tcPr>
            <w:tcW w:type="dxa" w:w="5760"/>
            <w:shd w:fill="F8FAFC"/>
            <w:tcMar>
              <w:top w:w="80" w:type="dxa"/>
              <w:bottom w:w="80" w:type="dxa"/>
              <w:left w:w="120" w:type="dxa"/>
              <w:right w:w="120" w:type="dxa"/>
            </w:tcMar>
          </w:tcPr>
          <w:p>
            <w:r>
              <w:rPr>
                <w:rFonts w:ascii="Calibri" w:hAnsi="Calibri"/>
                <w:color w:val="1E293B"/>
                <w:sz w:val="19"/>
              </w:rPr>
              <w:t>79.80</w:t>
            </w:r>
          </w:p>
        </w:tc>
      </w:tr>
      <w:tr>
        <w:tc>
          <w:tcPr>
            <w:tcW w:type="dxa" w:w="3600"/>
            <w:shd w:fill="FFFFFF"/>
            <w:tcMar>
              <w:top w:w="80" w:type="dxa"/>
              <w:bottom w:w="80" w:type="dxa"/>
              <w:left w:w="120" w:type="dxa"/>
              <w:right w:w="120" w:type="dxa"/>
            </w:tcMar>
          </w:tcPr>
          <w:p>
            <w:r>
              <w:rPr>
                <w:rFonts w:ascii="Calibri" w:hAnsi="Calibri"/>
                <w:b/>
                <w:color w:val="0F172A"/>
                <w:sz w:val="19"/>
              </w:rPr>
              <w:t>Viability Score</w:t>
            </w:r>
          </w:p>
        </w:tc>
        <w:tc>
          <w:tcPr>
            <w:tcW w:type="dxa" w:w="5760"/>
            <w:shd w:fill="FFFFFF"/>
            <w:tcMar>
              <w:top w:w="80" w:type="dxa"/>
              <w:bottom w:w="80" w:type="dxa"/>
              <w:left w:w="120" w:type="dxa"/>
              <w:right w:w="120" w:type="dxa"/>
            </w:tcMar>
          </w:tcPr>
          <w:p>
            <w:r>
              <w:rPr>
                <w:rFonts w:ascii="Calibri" w:hAnsi="Calibri"/>
                <w:color w:val="1E293B"/>
                <w:sz w:val="19"/>
              </w:rPr>
              <w:t>76.50</w:t>
            </w:r>
          </w:p>
        </w:tc>
      </w:tr>
      <w:tr>
        <w:tc>
          <w:tcPr>
            <w:tcW w:type="dxa" w:w="3600"/>
            <w:shd w:fill="F8FAFC"/>
            <w:tcMar>
              <w:top w:w="80" w:type="dxa"/>
              <w:bottom w:w="80" w:type="dxa"/>
              <w:left w:w="120" w:type="dxa"/>
              <w:right w:w="120" w:type="dxa"/>
            </w:tcMar>
          </w:tcPr>
          <w:p>
            <w:r>
              <w:rPr>
                <w:rFonts w:ascii="Calibri" w:hAnsi="Calibri"/>
                <w:b/>
                <w:color w:val="0F172A"/>
                <w:sz w:val="19"/>
              </w:rPr>
              <w:t>Market Fit Score</w:t>
            </w:r>
          </w:p>
        </w:tc>
        <w:tc>
          <w:tcPr>
            <w:tcW w:type="dxa" w:w="5760"/>
            <w:shd w:fill="F8FAFC"/>
            <w:tcMar>
              <w:top w:w="80" w:type="dxa"/>
              <w:bottom w:w="80" w:type="dxa"/>
              <w:left w:w="120" w:type="dxa"/>
              <w:right w:w="120" w:type="dxa"/>
            </w:tcMar>
          </w:tcPr>
          <w:p>
            <w:r>
              <w:rPr>
                <w:rFonts w:ascii="Calibri" w:hAnsi="Calibri"/>
                <w:color w:val="1E293B"/>
                <w:sz w:val="19"/>
              </w:rPr>
              <w:t>82.90</w:t>
            </w:r>
          </w:p>
        </w:tc>
      </w:tr>
      <w:tr>
        <w:tc>
          <w:tcPr>
            <w:tcW w:type="dxa" w:w="3600"/>
            <w:shd w:fill="FFFFFF"/>
            <w:tcMar>
              <w:top w:w="80" w:type="dxa"/>
              <w:bottom w:w="80" w:type="dxa"/>
              <w:left w:w="120" w:type="dxa"/>
              <w:right w:w="120" w:type="dxa"/>
            </w:tcMar>
          </w:tcPr>
          <w:p>
            <w:r>
              <w:rPr>
                <w:rFonts w:ascii="Calibri" w:hAnsi="Calibri"/>
                <w:b/>
                <w:color w:val="0F172A"/>
                <w:sz w:val="19"/>
              </w:rPr>
              <w:t>Financial Score</w:t>
            </w:r>
          </w:p>
        </w:tc>
        <w:tc>
          <w:tcPr>
            <w:tcW w:type="dxa" w:w="5760"/>
            <w:shd w:fill="FFFFFF"/>
            <w:tcMar>
              <w:top w:w="80" w:type="dxa"/>
              <w:bottom w:w="80" w:type="dxa"/>
              <w:left w:w="120" w:type="dxa"/>
              <w:right w:w="120" w:type="dxa"/>
            </w:tcMar>
          </w:tcPr>
          <w:p>
            <w:r>
              <w:rPr>
                <w:rFonts w:ascii="Calibri" w:hAnsi="Calibri"/>
                <w:color w:val="1E293B"/>
                <w:sz w:val="19"/>
              </w:rPr>
              <w:t>80</w:t>
            </w:r>
          </w:p>
        </w:tc>
      </w:tr>
      <w:tr>
        <w:tc>
          <w:tcPr>
            <w:tcW w:type="dxa" w:w="3600"/>
            <w:shd w:fill="F8FAFC"/>
            <w:tcMar>
              <w:top w:w="80" w:type="dxa"/>
              <w:bottom w:w="80" w:type="dxa"/>
              <w:left w:w="120" w:type="dxa"/>
              <w:right w:w="120" w:type="dxa"/>
            </w:tcMar>
          </w:tcPr>
          <w:p>
            <w:r>
              <w:rPr>
                <w:rFonts w:ascii="Calibri" w:hAnsi="Calibri"/>
                <w:b/>
                <w:color w:val="0F172A"/>
                <w:sz w:val="19"/>
              </w:rPr>
              <w:t>Rules Penalty Applied</w:t>
            </w:r>
          </w:p>
        </w:tc>
        <w:tc>
          <w:tcPr>
            <w:tcW w:type="dxa" w:w="5760"/>
            <w:shd w:fill="F8FAFC"/>
            <w:tcMar>
              <w:top w:w="80" w:type="dxa"/>
              <w:bottom w:w="80" w:type="dxa"/>
              <w:left w:w="120" w:type="dxa"/>
              <w:right w:w="120" w:type="dxa"/>
            </w:tcMar>
          </w:tcPr>
          <w:p>
            <w:r>
              <w:rPr>
                <w:rFonts w:ascii="Calibri" w:hAnsi="Calibri"/>
                <w:color w:val="1E293B"/>
                <w:sz w:val="19"/>
              </w:rPr>
              <w:t>No</w:t>
            </w:r>
          </w:p>
        </w:tc>
      </w:tr>
      <w:tr>
        <w:tc>
          <w:tcPr>
            <w:tcW w:type="dxa" w:w="3600"/>
            <w:shd w:fill="FFFFFF"/>
            <w:tcMar>
              <w:top w:w="80" w:type="dxa"/>
              <w:bottom w:w="80" w:type="dxa"/>
              <w:left w:w="120" w:type="dxa"/>
              <w:right w:w="120" w:type="dxa"/>
            </w:tcMar>
          </w:tcPr>
          <w:p>
            <w:r>
              <w:rPr>
                <w:rFonts w:ascii="Calibri" w:hAnsi="Calibri"/>
                <w:b/>
                <w:color w:val="0F172A"/>
                <w:sz w:val="19"/>
              </w:rPr>
              <w:t>Market Mapping Validated</w:t>
            </w:r>
          </w:p>
        </w:tc>
        <w:tc>
          <w:tcPr>
            <w:tcW w:type="dxa" w:w="5760"/>
            <w:shd w:fill="FFFFFF"/>
            <w:tcMar>
              <w:top w:w="80" w:type="dxa"/>
              <w:bottom w:w="80" w:type="dxa"/>
              <w:left w:w="120" w:type="dxa"/>
              <w:right w:w="120" w:type="dxa"/>
            </w:tcMar>
          </w:tcPr>
          <w:p>
            <w:r>
              <w:rPr>
                <w:rFonts w:ascii="Calibri" w:hAnsi="Calibri"/>
                <w:color w:val="1E293B"/>
                <w:sz w:val="19"/>
              </w:rPr>
              <w:t>Yes</w:t>
            </w:r>
          </w:p>
        </w:tc>
      </w:tr>
      <w:tr>
        <w:tc>
          <w:tcPr>
            <w:tcW w:type="dxa" w:w="3600"/>
            <w:shd w:fill="F8FAFC"/>
            <w:tcMar>
              <w:top w:w="80" w:type="dxa"/>
              <w:bottom w:w="80" w:type="dxa"/>
              <w:left w:w="120" w:type="dxa"/>
              <w:right w:w="120" w:type="dxa"/>
            </w:tcMar>
          </w:tcPr>
          <w:p>
            <w:r>
              <w:rPr>
                <w:rFonts w:ascii="Calibri" w:hAnsi="Calibri"/>
                <w:b/>
                <w:color w:val="0F172A"/>
                <w:sz w:val="19"/>
              </w:rPr>
              <w:t>Scoring Formula</w:t>
            </w:r>
          </w:p>
        </w:tc>
        <w:tc>
          <w:tcPr>
            <w:tcW w:type="dxa" w:w="5760"/>
            <w:shd w:fill="F8FAFC"/>
            <w:tcMar>
              <w:top w:w="80" w:type="dxa"/>
              <w:bottom w:w="80" w:type="dxa"/>
              <w:left w:w="120" w:type="dxa"/>
              <w:right w:w="120" w:type="dxa"/>
            </w:tcMar>
          </w:tcPr>
          <w:p>
            <w:r>
              <w:rPr>
                <w:rFonts w:ascii="Calibri" w:hAnsi="Calibri"/>
                <w:color w:val="1E293B"/>
                <w:sz w:val="19"/>
              </w:rPr>
              <w:t>0.35 * Viability + 0.35 * MarketFit + 0.30 * FinancialSoundness</w:t>
            </w:r>
          </w:p>
        </w:tc>
      </w:tr>
    </w:tbl>
    <w:p>
      <w:pPr>
        <w:spacing w:after="160"/>
      </w:pPr>
    </w:p>
    <w:p>
      <w:pPr>
        <w:pStyle w:val="Heading2"/>
        <w:spacing w:before="200" w:after="80"/>
      </w:pPr>
      <w:r>
        <w:rPr>
          <w:rFonts w:ascii="Calibri" w:hAnsi="Calibri"/>
          <w:color w:val="4F46E5"/>
        </w:rPr>
        <w:t>Cash Flow Projections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172A"/>
            <w:tcMar>
              <w:top w:w="120" w:type="dxa"/>
              <w:bottom w:w="120" w:type="dxa"/>
              <w:left w:w="150" w:type="dxa"/>
              <w:right w:w="150" w:type="dxa"/>
            </w:tcMar>
          </w:tcPr>
          <w:p>
            <w:pPr>
              <w:jc w:val="left"/>
            </w:pPr>
            <w:r>
              <w:rPr>
                <w:rFonts w:ascii="Calibri" w:hAnsi="Calibri"/>
                <w:b/>
                <w:color w:val="FFFFFF"/>
                <w:sz w:val="19"/>
              </w:rPr>
              <w:t>Year</w:t>
            </w:r>
          </w:p>
        </w:tc>
        <w:tc>
          <w:tcPr>
            <w:tcW w:type="dxa" w:w="2340"/>
            <w:shd w:fill="0F172A"/>
            <w:tcMar>
              <w:top w:w="120" w:type="dxa"/>
              <w:bottom w:w="120" w:type="dxa"/>
              <w:left w:w="150" w:type="dxa"/>
              <w:right w:w="150" w:type="dxa"/>
            </w:tcMar>
          </w:tcPr>
          <w:p>
            <w:pPr>
              <w:jc w:val="left"/>
            </w:pPr>
            <w:r>
              <w:rPr>
                <w:rFonts w:ascii="Calibri" w:hAnsi="Calibri"/>
                <w:b/>
                <w:color w:val="FFFFFF"/>
                <w:sz w:val="19"/>
              </w:rPr>
              <w:t>Revenue</w:t>
            </w:r>
          </w:p>
        </w:tc>
        <w:tc>
          <w:tcPr>
            <w:tcW w:type="dxa" w:w="2340"/>
            <w:shd w:fill="0F172A"/>
            <w:tcMar>
              <w:top w:w="120" w:type="dxa"/>
              <w:bottom w:w="120" w:type="dxa"/>
              <w:left w:w="150" w:type="dxa"/>
              <w:right w:w="150" w:type="dxa"/>
            </w:tcMar>
          </w:tcPr>
          <w:p>
            <w:pPr>
              <w:jc w:val="left"/>
            </w:pPr>
            <w:r>
              <w:rPr>
                <w:rFonts w:ascii="Calibri" w:hAnsi="Calibri"/>
                <w:b/>
                <w:color w:val="FFFFFF"/>
                <w:sz w:val="19"/>
              </w:rPr>
              <w:t>Expenses</w:t>
            </w:r>
          </w:p>
        </w:tc>
        <w:tc>
          <w:tcPr>
            <w:tcW w:type="dxa" w:w="2340"/>
            <w:shd w:fill="0F172A"/>
            <w:tcMar>
              <w:top w:w="120" w:type="dxa"/>
              <w:bottom w:w="120" w:type="dxa"/>
              <w:left w:w="150" w:type="dxa"/>
              <w:right w:w="150" w:type="dxa"/>
            </w:tcMar>
          </w:tcPr>
          <w:p>
            <w:pPr>
              <w:jc w:val="left"/>
            </w:pPr>
            <w:r>
              <w:rPr>
                <w:rFonts w:ascii="Calibri" w:hAnsi="Calibri"/>
                <w:b/>
                <w:color w:val="FFFFFF"/>
                <w:sz w:val="19"/>
              </w:rPr>
              <w:t>Cash Flow</w:t>
            </w:r>
          </w:p>
        </w:tc>
      </w:tr>
      <w:tr>
        <w:tc>
          <w:tcPr>
            <w:tcW w:type="dxa" w:w="2340"/>
            <w:shd w:fill="FFFFFF"/>
            <w:tcMar>
              <w:top w:w="100" w:type="dxa"/>
              <w:bottom w:w="100" w:type="dxa"/>
              <w:left w:w="150" w:type="dxa"/>
              <w:right w:w="150" w:type="dxa"/>
            </w:tcMar>
          </w:tcPr>
          <w:p>
            <w:r>
              <w:rPr>
                <w:rFonts w:ascii="Calibri" w:hAnsi="Calibri"/>
                <w:color w:val="1E293B"/>
                <w:sz w:val="18"/>
              </w:rPr>
              <w:t>2,024</w:t>
            </w:r>
          </w:p>
        </w:tc>
        <w:tc>
          <w:tcPr>
            <w:tcW w:type="dxa" w:w="2340"/>
            <w:shd w:fill="FFFFFF"/>
            <w:tcMar>
              <w:top w:w="100" w:type="dxa"/>
              <w:bottom w:w="100" w:type="dxa"/>
              <w:left w:w="150" w:type="dxa"/>
              <w:right w:w="150" w:type="dxa"/>
            </w:tcMar>
          </w:tcPr>
          <w:p>
            <w:r>
              <w:rPr>
                <w:rFonts w:ascii="Calibri" w:hAnsi="Calibri"/>
                <w:color w:val="1E293B"/>
                <w:sz w:val="18"/>
              </w:rPr>
              <w:t>1,500,000</w:t>
            </w:r>
          </w:p>
        </w:tc>
        <w:tc>
          <w:tcPr>
            <w:tcW w:type="dxa" w:w="2340"/>
            <w:shd w:fill="FFFFFF"/>
            <w:tcMar>
              <w:top w:w="100" w:type="dxa"/>
              <w:bottom w:w="100" w:type="dxa"/>
              <w:left w:w="150" w:type="dxa"/>
              <w:right w:w="150" w:type="dxa"/>
            </w:tcMar>
          </w:tcPr>
          <w:p>
            <w:r>
              <w:rPr>
                <w:rFonts w:ascii="Calibri" w:hAnsi="Calibri"/>
                <w:color w:val="1E293B"/>
                <w:sz w:val="18"/>
              </w:rPr>
              <w:t>1,000,000</w:t>
            </w:r>
          </w:p>
        </w:tc>
        <w:tc>
          <w:tcPr>
            <w:tcW w:type="dxa" w:w="2340"/>
            <w:shd w:fill="FFFFFF"/>
            <w:tcMar>
              <w:top w:w="100" w:type="dxa"/>
              <w:bottom w:w="100" w:type="dxa"/>
              <w:left w:w="150" w:type="dxa"/>
              <w:right w:w="150" w:type="dxa"/>
            </w:tcMar>
          </w:tcPr>
          <w:p>
            <w:r>
              <w:rPr>
                <w:rFonts w:ascii="Calibri" w:hAnsi="Calibri"/>
                <w:color w:val="1E293B"/>
                <w:sz w:val="18"/>
              </w:rPr>
              <w:t>500,000</w:t>
            </w:r>
          </w:p>
        </w:tc>
      </w:tr>
      <w:tr>
        <w:tc>
          <w:tcPr>
            <w:tcW w:type="dxa" w:w="2340"/>
            <w:shd w:fill="F8FAFC"/>
            <w:tcMar>
              <w:top w:w="100" w:type="dxa"/>
              <w:bottom w:w="100" w:type="dxa"/>
              <w:left w:w="150" w:type="dxa"/>
              <w:right w:w="150" w:type="dxa"/>
            </w:tcMar>
          </w:tcPr>
          <w:p>
            <w:r>
              <w:rPr>
                <w:rFonts w:ascii="Calibri" w:hAnsi="Calibri"/>
                <w:color w:val="1E293B"/>
                <w:sz w:val="18"/>
              </w:rPr>
              <w:t>2,025</w:t>
            </w:r>
          </w:p>
        </w:tc>
        <w:tc>
          <w:tcPr>
            <w:tcW w:type="dxa" w:w="2340"/>
            <w:shd w:fill="F8FAFC"/>
            <w:tcMar>
              <w:top w:w="100" w:type="dxa"/>
              <w:bottom w:w="100" w:type="dxa"/>
              <w:left w:w="150" w:type="dxa"/>
              <w:right w:w="150" w:type="dxa"/>
            </w:tcMar>
          </w:tcPr>
          <w:p>
            <w:r>
              <w:rPr>
                <w:rFonts w:ascii="Calibri" w:hAnsi="Calibri"/>
                <w:color w:val="1E293B"/>
                <w:sz w:val="18"/>
              </w:rPr>
              <w:t>2,000,000</w:t>
            </w:r>
          </w:p>
        </w:tc>
        <w:tc>
          <w:tcPr>
            <w:tcW w:type="dxa" w:w="2340"/>
            <w:shd w:fill="F8FAFC"/>
            <w:tcMar>
              <w:top w:w="100" w:type="dxa"/>
              <w:bottom w:w="100" w:type="dxa"/>
              <w:left w:w="150" w:type="dxa"/>
              <w:right w:w="150" w:type="dxa"/>
            </w:tcMar>
          </w:tcPr>
          <w:p>
            <w:r>
              <w:rPr>
                <w:rFonts w:ascii="Calibri" w:hAnsi="Calibri"/>
                <w:color w:val="1E293B"/>
                <w:sz w:val="18"/>
              </w:rPr>
              <w:t>1,500,000</w:t>
            </w:r>
          </w:p>
        </w:tc>
        <w:tc>
          <w:tcPr>
            <w:tcW w:type="dxa" w:w="2340"/>
            <w:shd w:fill="F8FAFC"/>
            <w:tcMar>
              <w:top w:w="100" w:type="dxa"/>
              <w:bottom w:w="100" w:type="dxa"/>
              <w:left w:w="150" w:type="dxa"/>
              <w:right w:w="150" w:type="dxa"/>
            </w:tcMar>
          </w:tcPr>
          <w:p>
            <w:r>
              <w:rPr>
                <w:rFonts w:ascii="Calibri" w:hAnsi="Calibri"/>
                <w:color w:val="1E293B"/>
                <w:sz w:val="18"/>
              </w:rPr>
              <w:t>500,000</w:t>
            </w:r>
          </w:p>
        </w:tc>
      </w:tr>
      <w:tr>
        <w:tc>
          <w:tcPr>
            <w:tcW w:type="dxa" w:w="2340"/>
            <w:shd w:fill="FFFFFF"/>
            <w:tcMar>
              <w:top w:w="100" w:type="dxa"/>
              <w:bottom w:w="100" w:type="dxa"/>
              <w:left w:w="150" w:type="dxa"/>
              <w:right w:w="150" w:type="dxa"/>
            </w:tcMar>
          </w:tcPr>
          <w:p>
            <w:r>
              <w:rPr>
                <w:rFonts w:ascii="Calibri" w:hAnsi="Calibri"/>
                <w:color w:val="1E293B"/>
                <w:sz w:val="18"/>
              </w:rPr>
              <w:t>2,026</w:t>
            </w:r>
          </w:p>
        </w:tc>
        <w:tc>
          <w:tcPr>
            <w:tcW w:type="dxa" w:w="2340"/>
            <w:shd w:fill="FFFFFF"/>
            <w:tcMar>
              <w:top w:w="100" w:type="dxa"/>
              <w:bottom w:w="100" w:type="dxa"/>
              <w:left w:w="150" w:type="dxa"/>
              <w:right w:w="150" w:type="dxa"/>
            </w:tcMar>
          </w:tcPr>
          <w:p>
            <w:r>
              <w:rPr>
                <w:rFonts w:ascii="Calibri" w:hAnsi="Calibri"/>
                <w:color w:val="1E293B"/>
                <w:sz w:val="18"/>
              </w:rPr>
              <w:t>2,500,000</w:t>
            </w:r>
          </w:p>
        </w:tc>
        <w:tc>
          <w:tcPr>
            <w:tcW w:type="dxa" w:w="2340"/>
            <w:shd w:fill="FFFFFF"/>
            <w:tcMar>
              <w:top w:w="100" w:type="dxa"/>
              <w:bottom w:w="100" w:type="dxa"/>
              <w:left w:w="150" w:type="dxa"/>
              <w:right w:w="150" w:type="dxa"/>
            </w:tcMar>
          </w:tcPr>
          <w:p>
            <w:r>
              <w:rPr>
                <w:rFonts w:ascii="Calibri" w:hAnsi="Calibri"/>
                <w:color w:val="1E293B"/>
                <w:sz w:val="18"/>
              </w:rPr>
              <w:t>2,000,000</w:t>
            </w:r>
          </w:p>
        </w:tc>
        <w:tc>
          <w:tcPr>
            <w:tcW w:type="dxa" w:w="2340"/>
            <w:shd w:fill="FFFFFF"/>
            <w:tcMar>
              <w:top w:w="100" w:type="dxa"/>
              <w:bottom w:w="100" w:type="dxa"/>
              <w:left w:w="150" w:type="dxa"/>
              <w:right w:w="150" w:type="dxa"/>
            </w:tcMar>
          </w:tcPr>
          <w:p>
            <w:r>
              <w:rPr>
                <w:rFonts w:ascii="Calibri" w:hAnsi="Calibri"/>
                <w:color w:val="1E293B"/>
                <w:sz w:val="18"/>
              </w:rPr>
              <w:t>500,000</w:t>
            </w:r>
          </w:p>
        </w:tc>
      </w:tr>
    </w:tbl>
    <w:p>
      <w:pPr>
        <w:spacing w:after="160"/>
      </w:pPr>
    </w:p>
    <w:p>
      <w:pPr>
        <w:pStyle w:val="Heading2"/>
        <w:spacing w:before="200" w:after="80"/>
      </w:pPr>
      <w:r>
        <w:rPr>
          <w:rFonts w:ascii="Calibri" w:hAnsi="Calibri"/>
          <w:color w:val="4F46E5"/>
        </w:rPr>
        <w:t>Financial Projection</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Projected Revenue</w:t>
            </w:r>
          </w:p>
        </w:tc>
        <w:tc>
          <w:tcPr>
            <w:tcW w:type="dxa" w:w="5760"/>
            <w:shd w:fill="F8FAFC"/>
            <w:tcMar>
              <w:top w:w="80" w:type="dxa"/>
              <w:bottom w:w="80" w:type="dxa"/>
              <w:left w:w="120" w:type="dxa"/>
              <w:right w:w="120" w:type="dxa"/>
            </w:tcMar>
          </w:tcPr>
          <w:p>
            <w:r>
              <w:rPr>
                <w:rFonts w:ascii="Calibri" w:hAnsi="Calibri"/>
                <w:color w:val="1E293B"/>
                <w:sz w:val="19"/>
              </w:rPr>
              <w:t>3,000,000</w:t>
            </w:r>
          </w:p>
        </w:tc>
      </w:tr>
      <w:tr>
        <w:tc>
          <w:tcPr>
            <w:tcW w:type="dxa" w:w="3600"/>
            <w:shd w:fill="FFFFFF"/>
            <w:tcMar>
              <w:top w:w="80" w:type="dxa"/>
              <w:bottom w:w="80" w:type="dxa"/>
              <w:left w:w="120" w:type="dxa"/>
              <w:right w:w="120" w:type="dxa"/>
            </w:tcMar>
          </w:tcPr>
          <w:p>
            <w:r>
              <w:rPr>
                <w:rFonts w:ascii="Calibri" w:hAnsi="Calibri"/>
                <w:b/>
                <w:color w:val="0F172A"/>
                <w:sz w:val="19"/>
              </w:rPr>
              <w:t>Projected Expenses</w:t>
            </w:r>
          </w:p>
        </w:tc>
        <w:tc>
          <w:tcPr>
            <w:tcW w:type="dxa" w:w="5760"/>
            <w:shd w:fill="FFFFFF"/>
            <w:tcMar>
              <w:top w:w="80" w:type="dxa"/>
              <w:bottom w:w="80" w:type="dxa"/>
              <w:left w:w="120" w:type="dxa"/>
              <w:right w:w="120" w:type="dxa"/>
            </w:tcMar>
          </w:tcPr>
          <w:p>
            <w:r>
              <w:rPr>
                <w:rFonts w:ascii="Calibri" w:hAnsi="Calibri"/>
                <w:color w:val="1E293B"/>
                <w:sz w:val="19"/>
              </w:rPr>
              <w:t>2,500,000</w:t>
            </w:r>
          </w:p>
        </w:tc>
      </w:tr>
      <w:tr>
        <w:tc>
          <w:tcPr>
            <w:tcW w:type="dxa" w:w="3600"/>
            <w:shd w:fill="F8FAFC"/>
            <w:tcMar>
              <w:top w:w="80" w:type="dxa"/>
              <w:bottom w:w="80" w:type="dxa"/>
              <w:left w:w="120" w:type="dxa"/>
              <w:right w:w="120" w:type="dxa"/>
            </w:tcMar>
          </w:tcPr>
          <w:p>
            <w:r>
              <w:rPr>
                <w:rFonts w:ascii="Calibri" w:hAnsi="Calibri"/>
                <w:b/>
                <w:color w:val="0F172A"/>
                <w:sz w:val="19"/>
              </w:rPr>
              <w:t>Projected Cash Flow</w:t>
            </w:r>
          </w:p>
        </w:tc>
        <w:tc>
          <w:tcPr>
            <w:tcW w:type="dxa" w:w="5760"/>
            <w:shd w:fill="F8FAFC"/>
            <w:tcMar>
              <w:top w:w="80" w:type="dxa"/>
              <w:bottom w:w="80" w:type="dxa"/>
              <w:left w:w="120" w:type="dxa"/>
              <w:right w:w="120" w:type="dxa"/>
            </w:tcMar>
          </w:tcPr>
          <w:p>
            <w:r>
              <w:rPr>
                <w:rFonts w:ascii="Calibri" w:hAnsi="Calibri"/>
                <w:color w:val="1E293B"/>
                <w:sz w:val="19"/>
              </w:rPr>
              <w:t>500,000</w:t>
            </w:r>
          </w:p>
        </w:tc>
      </w:tr>
      <w:tr>
        <w:tc>
          <w:tcPr>
            <w:tcW w:type="dxa" w:w="3600"/>
            <w:shd w:fill="FFFFFF"/>
            <w:tcMar>
              <w:top w:w="80" w:type="dxa"/>
              <w:bottom w:w="80" w:type="dxa"/>
              <w:left w:w="120" w:type="dxa"/>
              <w:right w:w="120" w:type="dxa"/>
            </w:tcMar>
          </w:tcPr>
          <w:p>
            <w:r>
              <w:rPr>
                <w:rFonts w:ascii="Calibri" w:hAnsi="Calibri"/>
                <w:b/>
                <w:color w:val="0F172A"/>
                <w:sz w:val="19"/>
              </w:rPr>
              <w:t>Projected Break Even</w:t>
            </w:r>
          </w:p>
        </w:tc>
        <w:tc>
          <w:tcPr>
            <w:tcW w:type="dxa" w:w="5760"/>
            <w:shd w:fill="FFFFFF"/>
            <w:tcMar>
              <w:top w:w="80" w:type="dxa"/>
              <w:bottom w:w="80" w:type="dxa"/>
              <w:left w:w="120" w:type="dxa"/>
              <w:right w:w="120" w:type="dxa"/>
            </w:tcMar>
          </w:tcPr>
          <w:p>
            <w:r>
              <w:rPr>
                <w:rFonts w:ascii="Calibri" w:hAnsi="Calibri"/>
                <w:color w:val="1E293B"/>
                <w:sz w:val="19"/>
              </w:rPr>
              <w:t>12</w:t>
            </w:r>
          </w:p>
        </w:tc>
      </w:tr>
      <w:tr>
        <w:tc>
          <w:tcPr>
            <w:tcW w:type="dxa" w:w="3600"/>
            <w:shd w:fill="F8FAFC"/>
            <w:tcMar>
              <w:top w:w="80" w:type="dxa"/>
              <w:bottom w:w="80" w:type="dxa"/>
              <w:left w:w="120" w:type="dxa"/>
              <w:right w:w="120" w:type="dxa"/>
            </w:tcMar>
          </w:tcPr>
          <w:p>
            <w:r>
              <w:rPr>
                <w:rFonts w:ascii="Calibri" w:hAnsi="Calibri"/>
                <w:b/>
                <w:color w:val="0F172A"/>
                <w:sz w:val="19"/>
              </w:rPr>
              <w:t>Projected Runway</w:t>
            </w:r>
          </w:p>
        </w:tc>
        <w:tc>
          <w:tcPr>
            <w:tcW w:type="dxa" w:w="5760"/>
            <w:shd w:fill="F8FAFC"/>
            <w:tcMar>
              <w:top w:w="80" w:type="dxa"/>
              <w:bottom w:w="80" w:type="dxa"/>
              <w:left w:w="120" w:type="dxa"/>
              <w:right w:w="120" w:type="dxa"/>
            </w:tcMar>
          </w:tcPr>
          <w:p>
            <w:r>
              <w:rPr>
                <w:rFonts w:ascii="Calibri" w:hAnsi="Calibri"/>
                <w:color w:val="1E293B"/>
                <w:sz w:val="19"/>
              </w:rPr>
              <w:t>12</w:t>
            </w:r>
          </w:p>
        </w:tc>
      </w:tr>
    </w:tbl>
    <w:p>
      <w:pPr>
        <w:spacing w:after="160"/>
      </w:pPr>
    </w:p>
    <w:p>
      <w:pPr>
        <w:spacing w:after="200"/>
      </w:pPr>
    </w:p>
    <w:p>
      <w:pPr>
        <w:pStyle w:val="Heading1"/>
        <w:spacing w:before="360" w:after="120"/>
      </w:pPr>
      <w:r>
        <w:rPr>
          <w:rFonts w:ascii="Calibri" w:hAnsi="Calibri"/>
          <w:b/>
          <w:color w:val="0F172A"/>
          <w:sz w:val="28"/>
        </w:rPr>
        <w:t>SECTION 7.0 — INVESTMENT READINESS REPORT</w:t>
      </w:r>
    </w:p>
    <w:p>
      <w:pPr>
        <w:pStyle w:val="Heading2"/>
        <w:spacing w:before="200" w:after="80"/>
      </w:pPr>
      <w:r>
        <w:rPr>
          <w:rFonts w:ascii="Calibri" w:hAnsi="Calibri"/>
          <w:color w:val="4F46E5"/>
        </w:rPr>
        <w:t>Investment Thesis</w:t>
      </w:r>
    </w:p>
    <w:p>
      <w:pPr>
        <w:spacing w:after="120" w:line="276" w:lineRule="auto"/>
      </w:pPr>
      <w:r>
        <w:rPr>
          <w:rFonts w:ascii="Calibri" w:hAnsi="Calibri"/>
          <w:color w:val="1E293B"/>
          <w:sz w:val="20"/>
        </w:rPr>
        <w:t>Zone7 AI targets a $140M near‑term TAM in elite sports by delivering the only enterprise‑grade AI platform that predicts non‑contact injury risk up to seven days in advance and automatically generates load‑management plans. The solution leverages a proprietary 200M‑hour multi‑modal athlete data lake, patented deep‑learning models, and a plug‑and‑play integration layer that ingests any wearable, EHR, or match‑tracking system. This combination creates a defensible moat of data scale, model sophistication, and network effects, while addressing a $5B+ annual loss problem for professional franchises and top NCAA programs. The business model is a tiered B2B SaaS subscription with high‑margin recurring revenue and optional Data‑Science‑as‑a‑Service consulting, positioning Zone7 to capture high‑value contracts with Tier‑1 clubs and federations before expanding to mid‑tier markets.</w:t>
      </w:r>
    </w:p>
    <w:p>
      <w:pPr>
        <w:pStyle w:val="Heading2"/>
        <w:spacing w:before="200" w:after="80"/>
      </w:pPr>
      <w:r>
        <w:rPr>
          <w:rFonts w:ascii="Calibri" w:hAnsi="Calibri"/>
          <w:color w:val="4F46E5"/>
        </w:rPr>
        <w:t>Scoring Breakdown</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Overall Score</w:t>
            </w:r>
          </w:p>
        </w:tc>
        <w:tc>
          <w:tcPr>
            <w:tcW w:type="dxa" w:w="5760"/>
            <w:shd w:fill="F8FAFC"/>
            <w:tcMar>
              <w:top w:w="80" w:type="dxa"/>
              <w:bottom w:w="80" w:type="dxa"/>
              <w:left w:w="120" w:type="dxa"/>
              <w:right w:w="120" w:type="dxa"/>
            </w:tcMar>
          </w:tcPr>
          <w:p>
            <w:r>
              <w:rPr>
                <w:rFonts w:ascii="Calibri" w:hAnsi="Calibri"/>
                <w:color w:val="1E293B"/>
                <w:sz w:val="19"/>
              </w:rPr>
              <w:t>79.80</w:t>
            </w:r>
          </w:p>
        </w:tc>
      </w:tr>
      <w:tr>
        <w:tc>
          <w:tcPr>
            <w:tcW w:type="dxa" w:w="3600"/>
            <w:shd w:fill="FFFFFF"/>
            <w:tcMar>
              <w:top w:w="80" w:type="dxa"/>
              <w:bottom w:w="80" w:type="dxa"/>
              <w:left w:w="120" w:type="dxa"/>
              <w:right w:w="120" w:type="dxa"/>
            </w:tcMar>
          </w:tcPr>
          <w:p>
            <w:r>
              <w:rPr>
                <w:rFonts w:ascii="Calibri" w:hAnsi="Calibri"/>
                <w:b/>
                <w:color w:val="0F172A"/>
                <w:sz w:val="19"/>
              </w:rPr>
              <w:t>Viability Score</w:t>
            </w:r>
          </w:p>
        </w:tc>
        <w:tc>
          <w:tcPr>
            <w:tcW w:type="dxa" w:w="5760"/>
            <w:shd w:fill="FFFFFF"/>
            <w:tcMar>
              <w:top w:w="80" w:type="dxa"/>
              <w:bottom w:w="80" w:type="dxa"/>
              <w:left w:w="120" w:type="dxa"/>
              <w:right w:w="120" w:type="dxa"/>
            </w:tcMar>
          </w:tcPr>
          <w:p>
            <w:r>
              <w:rPr>
                <w:rFonts w:ascii="Calibri" w:hAnsi="Calibri"/>
                <w:color w:val="1E293B"/>
                <w:sz w:val="19"/>
              </w:rPr>
              <w:t>76.50</w:t>
            </w:r>
          </w:p>
        </w:tc>
      </w:tr>
      <w:tr>
        <w:tc>
          <w:tcPr>
            <w:tcW w:type="dxa" w:w="3600"/>
            <w:shd w:fill="F8FAFC"/>
            <w:tcMar>
              <w:top w:w="80" w:type="dxa"/>
              <w:bottom w:w="80" w:type="dxa"/>
              <w:left w:w="120" w:type="dxa"/>
              <w:right w:w="120" w:type="dxa"/>
            </w:tcMar>
          </w:tcPr>
          <w:p>
            <w:r>
              <w:rPr>
                <w:rFonts w:ascii="Calibri" w:hAnsi="Calibri"/>
                <w:b/>
                <w:color w:val="0F172A"/>
                <w:sz w:val="19"/>
              </w:rPr>
              <w:t>Market Fit Score</w:t>
            </w:r>
          </w:p>
        </w:tc>
        <w:tc>
          <w:tcPr>
            <w:tcW w:type="dxa" w:w="5760"/>
            <w:shd w:fill="F8FAFC"/>
            <w:tcMar>
              <w:top w:w="80" w:type="dxa"/>
              <w:bottom w:w="80" w:type="dxa"/>
              <w:left w:w="120" w:type="dxa"/>
              <w:right w:w="120" w:type="dxa"/>
            </w:tcMar>
          </w:tcPr>
          <w:p>
            <w:r>
              <w:rPr>
                <w:rFonts w:ascii="Calibri" w:hAnsi="Calibri"/>
                <w:color w:val="1E293B"/>
                <w:sz w:val="19"/>
              </w:rPr>
              <w:t>82.90</w:t>
            </w:r>
          </w:p>
        </w:tc>
      </w:tr>
      <w:tr>
        <w:tc>
          <w:tcPr>
            <w:tcW w:type="dxa" w:w="3600"/>
            <w:shd w:fill="FFFFFF"/>
            <w:tcMar>
              <w:top w:w="80" w:type="dxa"/>
              <w:bottom w:w="80" w:type="dxa"/>
              <w:left w:w="120" w:type="dxa"/>
              <w:right w:w="120" w:type="dxa"/>
            </w:tcMar>
          </w:tcPr>
          <w:p>
            <w:r>
              <w:rPr>
                <w:rFonts w:ascii="Calibri" w:hAnsi="Calibri"/>
                <w:b/>
                <w:color w:val="0F172A"/>
                <w:sz w:val="19"/>
              </w:rPr>
              <w:t>Financial Score</w:t>
            </w:r>
          </w:p>
        </w:tc>
        <w:tc>
          <w:tcPr>
            <w:tcW w:type="dxa" w:w="5760"/>
            <w:shd w:fill="FFFFFF"/>
            <w:tcMar>
              <w:top w:w="80" w:type="dxa"/>
              <w:bottom w:w="80" w:type="dxa"/>
              <w:left w:w="120" w:type="dxa"/>
              <w:right w:w="120" w:type="dxa"/>
            </w:tcMar>
          </w:tcPr>
          <w:p>
            <w:r>
              <w:rPr>
                <w:rFonts w:ascii="Calibri" w:hAnsi="Calibri"/>
                <w:color w:val="1E293B"/>
                <w:sz w:val="19"/>
              </w:rPr>
              <w:t>80</w:t>
            </w:r>
          </w:p>
        </w:tc>
      </w:tr>
      <w:tr>
        <w:tc>
          <w:tcPr>
            <w:tcW w:type="dxa" w:w="3600"/>
            <w:shd w:fill="F8FAFC"/>
            <w:tcMar>
              <w:top w:w="80" w:type="dxa"/>
              <w:bottom w:w="80" w:type="dxa"/>
              <w:left w:w="120" w:type="dxa"/>
              <w:right w:w="120" w:type="dxa"/>
            </w:tcMar>
          </w:tcPr>
          <w:p>
            <w:r>
              <w:rPr>
                <w:rFonts w:ascii="Calibri" w:hAnsi="Calibri"/>
                <w:b/>
                <w:color w:val="0F172A"/>
                <w:sz w:val="19"/>
              </w:rPr>
              <w:t>Scoring Formula</w:t>
            </w:r>
          </w:p>
        </w:tc>
        <w:tc>
          <w:tcPr>
            <w:tcW w:type="dxa" w:w="5760"/>
            <w:shd w:fill="F8FAFC"/>
            <w:tcMar>
              <w:top w:w="80" w:type="dxa"/>
              <w:bottom w:w="80" w:type="dxa"/>
              <w:left w:w="120" w:type="dxa"/>
              <w:right w:w="120" w:type="dxa"/>
            </w:tcMar>
          </w:tcPr>
          <w:p>
            <w:r>
              <w:rPr>
                <w:rFonts w:ascii="Calibri" w:hAnsi="Calibri"/>
                <w:color w:val="1E293B"/>
                <w:sz w:val="19"/>
              </w:rPr>
              <w:t>0.35*Viability + 0.35*MarketFit + 0.30*FinancialSoundness</w:t>
            </w:r>
          </w:p>
        </w:tc>
      </w:tr>
      <w:tr>
        <w:tc>
          <w:tcPr>
            <w:tcW w:type="dxa" w:w="3600"/>
            <w:shd w:fill="FFFFFF"/>
            <w:tcMar>
              <w:top w:w="80" w:type="dxa"/>
              <w:bottom w:w="80" w:type="dxa"/>
              <w:left w:w="120" w:type="dxa"/>
              <w:right w:w="120" w:type="dxa"/>
            </w:tcMar>
          </w:tcPr>
          <w:p>
            <w:r>
              <w:rPr>
                <w:rFonts w:ascii="Calibri" w:hAnsi="Calibri"/>
                <w:b/>
                <w:color w:val="0F172A"/>
                <w:sz w:val="19"/>
              </w:rPr>
              <w:t>Notes</w:t>
            </w:r>
          </w:p>
        </w:tc>
        <w:tc>
          <w:tcPr>
            <w:tcW w:type="dxa" w:w="5760"/>
            <w:shd w:fill="FFFFFF"/>
            <w:tcMar>
              <w:top w:w="80" w:type="dxa"/>
              <w:bottom w:w="80" w:type="dxa"/>
              <w:left w:w="120" w:type="dxa"/>
              <w:right w:w="120" w:type="dxa"/>
            </w:tcMar>
          </w:tcPr>
          <w:p>
            <w:r>
              <w:rPr>
                <w:rFonts w:ascii="Calibri" w:hAnsi="Calibri"/>
                <w:color w:val="1E293B"/>
                <w:sz w:val="19"/>
              </w:rPr>
              <w:t>Scores reflect strong product‑market fit and compelling technology, but are tempered by aggressive TAM assumptions, optimistic CAC/LTV metrics, and high compliance cost risk.</w:t>
            </w:r>
          </w:p>
        </w:tc>
      </w:tr>
    </w:tbl>
    <w:p>
      <w:pPr>
        <w:spacing w:after="160"/>
      </w:pPr>
    </w:p>
    <w:p>
      <w:pPr>
        <w:pStyle w:val="Heading2"/>
        <w:spacing w:before="200" w:after="80"/>
      </w:pPr>
      <w:r>
        <w:rPr>
          <w:rFonts w:ascii="Calibri" w:hAnsi="Calibri"/>
          <w:color w:val="4F46E5"/>
        </w:rPr>
        <w:t>Critic Concerns</w:t>
      </w:r>
    </w:p>
    <w:p>
      <w:pPr>
        <w:pStyle w:val="Heading3"/>
        <w:spacing w:before="200" w:after="80"/>
      </w:pPr>
      <w:r>
        <w:rPr>
          <w:rFonts w:ascii="Calibri" w:hAnsi="Calibri"/>
          <w:color w:val="0F172A"/>
        </w:rPr>
        <w:t>Adversarial Critique</w:t>
      </w:r>
    </w:p>
    <w:p>
      <w:pPr>
        <w:spacing w:after="120" w:line="276" w:lineRule="auto"/>
      </w:pPr>
      <w:r>
        <w:rPr>
          <w:rFonts w:ascii="Calibri" w:hAnsi="Calibri"/>
          <w:color w:val="1E293B"/>
          <w:sz w:val="20"/>
        </w:rPr>
        <w:t>Zone7’s pitch leans heavily on grandiose numbers while glossing over the gritty realities of selling enterprise SaaS to elite sports organizations. The claimed $140M bottom‑up TAM assumes 1,400 "qualified clubs" each willing to spend $100k annually – a figure that vastly overstates the addressable pool. The $3B top‑down slice is speculative; injury‑prevention AI likely occupies a far smaller niche, especially given the high cost of data compliance and limited willingness of clubs to outsource core medical decisions. The proprietary 200M‑hour dataset is presented as a moat, yet most of that data is derived from publicly available wearables and can be replicated by incumbents. Patents on deep‑learning models are weak in AI. CAC of $2,500 is unrealistically low for a multi‑year, high‑touch sales cycle; the implied 12‑month payback assumes immediate upsell, which is unlikely. LTV of $11,250 presumes low churn and rapid upsell, yet churn can be high once a season ends or a new coach arrives. Gross margin of 82% ignores ongoing compliance, data‑engineering, and model‑retraining costs. Overall, financials are optimistic, market sizing inflated, and competitive moat thin, making the investment high‑risk.</w:t>
      </w:r>
    </w:p>
    <w:p>
      <w:pPr>
        <w:pStyle w:val="Heading3"/>
        <w:spacing w:before="200" w:after="80"/>
      </w:pPr>
      <w:r>
        <w:rPr>
          <w:rFonts w:ascii="Calibri" w:hAnsi="Calibri"/>
          <w:color w:val="0F172A"/>
        </w:rPr>
        <w:t>Vulnerabilities Exposed</w:t>
      </w:r>
    </w:p>
    <w:p>
      <w:pPr>
        <w:pStyle w:val="ListBullet"/>
        <w:spacing w:after="60" w:line="276" w:lineRule="auto"/>
      </w:pPr>
      <w:r>
        <w:rPr>
          <w:rFonts w:ascii="Calibri" w:hAnsi="Calibri"/>
          <w:color w:val="1E293B"/>
          <w:sz w:val="20"/>
        </w:rPr>
        <w:t>Inflated bottom‑up TAM based on unrealistic club count and ACV</w:t>
      </w:r>
    </w:p>
    <w:p>
      <w:pPr>
        <w:pStyle w:val="ListBullet"/>
        <w:spacing w:after="60" w:line="276" w:lineRule="auto"/>
      </w:pPr>
      <w:r>
        <w:rPr>
          <w:rFonts w:ascii="Calibri" w:hAnsi="Calibri"/>
          <w:color w:val="1E293B"/>
          <w:sz w:val="20"/>
        </w:rPr>
        <w:t>Weak defensibility of the data moat – competitors can acquire similar data or build in‑house models</w:t>
      </w:r>
    </w:p>
    <w:p>
      <w:pPr>
        <w:pStyle w:val="ListBullet"/>
        <w:spacing w:after="60" w:line="276" w:lineRule="auto"/>
      </w:pPr>
      <w:r>
        <w:rPr>
          <w:rFonts w:ascii="Calibri" w:hAnsi="Calibri"/>
          <w:color w:val="1E293B"/>
          <w:sz w:val="20"/>
        </w:rPr>
        <w:t>Patents on AI algorithms are unlikely to survive legal scrutiny</w:t>
      </w:r>
    </w:p>
    <w:p>
      <w:pPr>
        <w:pStyle w:val="ListBullet"/>
        <w:spacing w:after="60" w:line="276" w:lineRule="auto"/>
      </w:pPr>
      <w:r>
        <w:rPr>
          <w:rFonts w:ascii="Calibri" w:hAnsi="Calibri"/>
          <w:color w:val="1E293B"/>
          <w:sz w:val="20"/>
        </w:rPr>
        <w:t>CAC estimate far below industry norms for enterprise sports SaaS</w:t>
      </w:r>
    </w:p>
    <w:p>
      <w:pPr>
        <w:pStyle w:val="ListBullet"/>
        <w:spacing w:after="60" w:line="276" w:lineRule="auto"/>
      </w:pPr>
      <w:r>
        <w:rPr>
          <w:rFonts w:ascii="Calibri" w:hAnsi="Calibri"/>
          <w:color w:val="1E293B"/>
          <w:sz w:val="20"/>
        </w:rPr>
        <w:t>LTV calculation assumes low churn and rapid upsell, which is doubtful</w:t>
      </w:r>
    </w:p>
    <w:p>
      <w:pPr>
        <w:pStyle w:val="ListBullet"/>
        <w:spacing w:after="60" w:line="276" w:lineRule="auto"/>
      </w:pPr>
      <w:r>
        <w:rPr>
          <w:rFonts w:ascii="Calibri" w:hAnsi="Calibri"/>
          <w:color w:val="1E293B"/>
          <w:sz w:val="20"/>
        </w:rPr>
        <w:t>Gross margin ignores compliance, data‑engineering, and ongoing model‑training costs</w:t>
      </w:r>
    </w:p>
    <w:p>
      <w:pPr>
        <w:pStyle w:val="ListBullet"/>
        <w:spacing w:after="60" w:line="276" w:lineRule="auto"/>
      </w:pPr>
      <w:r>
        <w:rPr>
          <w:rFonts w:ascii="Calibri" w:hAnsi="Calibri"/>
          <w:color w:val="1E293B"/>
          <w:sz w:val="20"/>
        </w:rPr>
        <w:t>Reliance on integration with "any" wearable is technically oversimplified</w:t>
      </w:r>
    </w:p>
    <w:p>
      <w:pPr>
        <w:pStyle w:val="Heading3"/>
        <w:spacing w:before="200" w:after="80"/>
      </w:pPr>
      <w:r>
        <w:rPr>
          <w:rFonts w:ascii="Calibri" w:hAnsi="Calibri"/>
          <w:color w:val="0F172A"/>
        </w:rPr>
        <w:t>Untested Assumptions</w:t>
      </w:r>
    </w:p>
    <w:p>
      <w:pPr>
        <w:pStyle w:val="ListBullet"/>
        <w:spacing w:after="60" w:line="276" w:lineRule="auto"/>
      </w:pPr>
      <w:r>
        <w:rPr>
          <w:rFonts w:ascii="Calibri" w:hAnsi="Calibri"/>
          <w:color w:val="1E293B"/>
          <w:sz w:val="20"/>
        </w:rPr>
        <w:t>Elite clubs will allocate $100k+ annually to a predictive injury SaaS</w:t>
      </w:r>
    </w:p>
    <w:p>
      <w:pPr>
        <w:pStyle w:val="ListBullet"/>
        <w:spacing w:after="60" w:line="276" w:lineRule="auto"/>
      </w:pPr>
      <w:r>
        <w:rPr>
          <w:rFonts w:ascii="Calibri" w:hAnsi="Calibri"/>
          <w:color w:val="1E293B"/>
          <w:sz w:val="20"/>
        </w:rPr>
        <w:t>200M‑hour dataset is truly unique and not replicable</w:t>
      </w:r>
    </w:p>
    <w:p>
      <w:pPr>
        <w:pStyle w:val="ListBullet"/>
        <w:spacing w:after="60" w:line="276" w:lineRule="auto"/>
      </w:pPr>
      <w:r>
        <w:rPr>
          <w:rFonts w:ascii="Calibri" w:hAnsi="Calibri"/>
          <w:color w:val="1E293B"/>
          <w:sz w:val="20"/>
        </w:rPr>
        <w:t>Coaches and medical staff will trust AI forecasts over traditional expertise</w:t>
      </w:r>
    </w:p>
    <w:p>
      <w:pPr>
        <w:pStyle w:val="ListBullet"/>
        <w:spacing w:after="60" w:line="276" w:lineRule="auto"/>
      </w:pPr>
      <w:r>
        <w:rPr>
          <w:rFonts w:ascii="Calibri" w:hAnsi="Calibri"/>
          <w:color w:val="1E293B"/>
          <w:sz w:val="20"/>
        </w:rPr>
        <w:t>Regulatory and data‑privacy hurdles can be cleared without significant cost</w:t>
      </w:r>
    </w:p>
    <w:p>
      <w:pPr>
        <w:pStyle w:val="ListBullet"/>
        <w:spacing w:after="60" w:line="276" w:lineRule="auto"/>
      </w:pPr>
      <w:r>
        <w:rPr>
          <w:rFonts w:ascii="Calibri" w:hAnsi="Calibri"/>
          <w:color w:val="1E293B"/>
          <w:sz w:val="20"/>
        </w:rPr>
        <w:t>Sales cycles will close within 12 months with a $2.5k CAC</w:t>
      </w:r>
    </w:p>
    <w:p>
      <w:pPr>
        <w:pStyle w:val="ListBullet"/>
        <w:spacing w:after="60" w:line="276" w:lineRule="auto"/>
      </w:pPr>
      <w:r>
        <w:rPr>
          <w:rFonts w:ascii="Calibri" w:hAnsi="Calibri"/>
          <w:color w:val="1E293B"/>
          <w:sz w:val="20"/>
        </w:rPr>
        <w:t>Model performance (7‑day forecast) translates into measurable ROI for clubs</w:t>
      </w:r>
    </w:p>
    <w:p>
      <w:pPr>
        <w:pStyle w:val="Heading3"/>
        <w:spacing w:before="200" w:after="80"/>
      </w:pPr>
      <w:r>
        <w:rPr>
          <w:rFonts w:ascii="Calibri" w:hAnsi="Calibri"/>
          <w:color w:val="0F172A"/>
        </w:rPr>
        <w:t>Market Sizing Critique</w:t>
      </w:r>
    </w:p>
    <w:p>
      <w:pPr>
        <w:spacing w:after="120" w:line="276" w:lineRule="auto"/>
      </w:pPr>
      <w:r>
        <w:rPr>
          <w:rFonts w:ascii="Calibri" w:hAnsi="Calibri"/>
          <w:color w:val="1E293B"/>
          <w:sz w:val="20"/>
        </w:rPr>
        <w:t>The top‑down $3B figure is derived from a rough 10% slice of the $30B global sports‑tech market, but the AI injury‑prevention niche is likely &lt;2% of that total, putting realistic TAM closer to $600M. The bottom‑up $140M TAM assumes 1,400 clubs at $100k ACV; the true number of elite clubs with budgets for such a solution is closer to 400, yielding a TAM of ~$40M. Consequently, the SAM of $50M and SOM of $2.5M appear overly optimistic and lack a credible conversion funnel. The triangulation reconciliation simply picks the higher bottom‑up number without adjusting for market penetration constraints, leading to a distorted view of opportunity.</w:t>
      </w:r>
    </w:p>
    <w:p>
      <w:pPr>
        <w:pStyle w:val="Heading3"/>
        <w:spacing w:before="200" w:after="80"/>
      </w:pPr>
      <w:r>
        <w:rPr>
          <w:rFonts w:ascii="Calibri" w:hAnsi="Calibri"/>
          <w:color w:val="0F172A"/>
        </w:rPr>
        <w:t>Vc Investment Verdict</w:t>
      </w:r>
    </w:p>
    <w:p>
      <w:pPr>
        <w:spacing w:after="120" w:line="276" w:lineRule="auto"/>
      </w:pPr>
      <w:r>
        <w:rPr>
          <w:rFonts w:ascii="Calibri" w:hAnsi="Calibri"/>
          <w:color w:val="1E293B"/>
          <w:sz w:val="20"/>
        </w:rPr>
        <w:t>CONDITIONAL_INTEREST</w:t>
      </w:r>
    </w:p>
    <w:p>
      <w:pPr>
        <w:pStyle w:val="Heading3"/>
        <w:spacing w:before="200" w:after="80"/>
      </w:pPr>
      <w:r>
        <w:rPr>
          <w:rFonts w:ascii="Calibri" w:hAnsi="Calibri"/>
          <w:color w:val="0F172A"/>
        </w:rPr>
        <w:t>Required Fixes To Fund</w:t>
      </w:r>
    </w:p>
    <w:p>
      <w:pPr>
        <w:pStyle w:val="ListBullet"/>
        <w:spacing w:after="60" w:line="276" w:lineRule="auto"/>
      </w:pPr>
      <w:r>
        <w:rPr>
          <w:rFonts w:ascii="Calibri" w:hAnsi="Calibri"/>
          <w:color w:val="1E293B"/>
          <w:sz w:val="20"/>
        </w:rPr>
        <w:t>Provide a rigorously sourced TAM/SAM/SOM analysis that aligns club counts with actual budgetary capacity</w:t>
      </w:r>
    </w:p>
    <w:p>
      <w:pPr>
        <w:pStyle w:val="ListBullet"/>
        <w:spacing w:after="60" w:line="276" w:lineRule="auto"/>
      </w:pPr>
      <w:r>
        <w:rPr>
          <w:rFonts w:ascii="Calibri" w:hAnsi="Calibri"/>
          <w:color w:val="1E293B"/>
          <w:sz w:val="20"/>
        </w:rPr>
        <w:t>Demonstrate defensible data advantage with third‑party validation or exclusive partnerships</w:t>
      </w:r>
    </w:p>
    <w:p>
      <w:pPr>
        <w:pStyle w:val="ListBullet"/>
        <w:spacing w:after="60" w:line="276" w:lineRule="auto"/>
      </w:pPr>
      <w:r>
        <w:rPr>
          <w:rFonts w:ascii="Calibri" w:hAnsi="Calibri"/>
          <w:color w:val="1E293B"/>
          <w:sz w:val="20"/>
        </w:rPr>
        <w:t>Revise CAC and LTV assumptions to reflect realistic enterprise sales cycles and churn rates</w:t>
      </w:r>
    </w:p>
    <w:p>
      <w:pPr>
        <w:pStyle w:val="ListBullet"/>
        <w:spacing w:after="60" w:line="276" w:lineRule="auto"/>
      </w:pPr>
      <w:r>
        <w:rPr>
          <w:rFonts w:ascii="Calibri" w:hAnsi="Calibri"/>
          <w:color w:val="1E293B"/>
          <w:sz w:val="20"/>
        </w:rPr>
        <w:t>Show concrete ROI case studies that prove the 7‑day forecast drives cost savings for clubs</w:t>
      </w:r>
    </w:p>
    <w:p>
      <w:pPr>
        <w:pStyle w:val="ListBullet"/>
        <w:spacing w:after="60" w:line="276" w:lineRule="auto"/>
      </w:pPr>
      <w:r>
        <w:rPr>
          <w:rFonts w:ascii="Calibri" w:hAnsi="Calibri"/>
          <w:color w:val="1E293B"/>
          <w:sz w:val="20"/>
        </w:rPr>
        <w:t>Detail compliance, data‑security, and ongoing model‑maintenance cost structure to justify gross‑margin claims</w:t>
      </w:r>
    </w:p>
    <w:p>
      <w:pPr>
        <w:pStyle w:val="ListBullet"/>
        <w:spacing w:after="60" w:line="276" w:lineRule="auto"/>
      </w:pPr>
      <w:r>
        <w:rPr>
          <w:rFonts w:ascii="Calibri" w:hAnsi="Calibri"/>
          <w:color w:val="1E293B"/>
          <w:sz w:val="20"/>
        </w:rPr>
        <w:t>Outline a clear competitive differentiation strategy against entrenched players like Catapult and Kitman Labs</w:t>
      </w:r>
    </w:p>
    <w:p>
      <w:pPr>
        <w:pStyle w:val="Heading2"/>
        <w:spacing w:before="200" w:after="80"/>
      </w:pPr>
      <w:r>
        <w:rPr>
          <w:rFonts w:ascii="Calibri" w:hAnsi="Calibri"/>
          <w:color w:val="4F46E5"/>
        </w:rPr>
        <w:t>Milestones Funding</w:t>
      </w:r>
    </w:p>
    <w:p>
      <w:pPr>
        <w:pStyle w:val="Heading3"/>
        <w:spacing w:before="200" w:after="80"/>
      </w:pPr>
      <w:r>
        <w:rPr>
          <w:rFonts w:ascii="Calibri" w:hAnsi="Calibri"/>
          <w:color w:val="0F172A"/>
        </w:rPr>
        <w:t>Total Preferred Funding</w:t>
      </w:r>
    </w:p>
    <w:p>
      <w:pPr>
        <w:spacing w:after="120" w:line="276" w:lineRule="auto"/>
      </w:pPr>
      <w:r>
        <w:rPr>
          <w:rFonts w:ascii="Calibri" w:hAnsi="Calibri"/>
          <w:color w:val="1E293B"/>
          <w:sz w:val="20"/>
        </w:rPr>
        <w:t>8,000,000</w:t>
      </w:r>
    </w:p>
    <w:p>
      <w:pPr>
        <w:pStyle w:val="Heading3"/>
        <w:spacing w:before="200" w:after="80"/>
      </w:pPr>
      <w:r>
        <w:rPr>
          <w:rFonts w:ascii="Calibri" w:hAnsi="Calibri"/>
          <w:color w:val="0F172A"/>
        </w:rPr>
        <w:t>Funding Rounds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172A"/>
            <w:tcMar>
              <w:top w:w="120" w:type="dxa"/>
              <w:bottom w:w="120" w:type="dxa"/>
              <w:left w:w="150" w:type="dxa"/>
              <w:right w:w="150" w:type="dxa"/>
            </w:tcMar>
          </w:tcPr>
          <w:p>
            <w:pPr>
              <w:jc w:val="left"/>
            </w:pPr>
            <w:r>
              <w:rPr>
                <w:rFonts w:ascii="Calibri" w:hAnsi="Calibri"/>
                <w:b/>
                <w:color w:val="FFFFFF"/>
                <w:sz w:val="19"/>
              </w:rPr>
              <w:t>Round</w:t>
            </w:r>
          </w:p>
        </w:tc>
        <w:tc>
          <w:tcPr>
            <w:tcW w:type="dxa" w:w="2340"/>
            <w:shd w:fill="0F172A"/>
            <w:tcMar>
              <w:top w:w="120" w:type="dxa"/>
              <w:bottom w:w="120" w:type="dxa"/>
              <w:left w:w="150" w:type="dxa"/>
              <w:right w:w="150" w:type="dxa"/>
            </w:tcMar>
          </w:tcPr>
          <w:p>
            <w:pPr>
              <w:jc w:val="left"/>
            </w:pPr>
            <w:r>
              <w:rPr>
                <w:rFonts w:ascii="Calibri" w:hAnsi="Calibri"/>
                <w:b/>
                <w:color w:val="FFFFFF"/>
                <w:sz w:val="19"/>
              </w:rPr>
              <w:t>Amount</w:t>
            </w:r>
          </w:p>
        </w:tc>
        <w:tc>
          <w:tcPr>
            <w:tcW w:type="dxa" w:w="2340"/>
            <w:shd w:fill="0F172A"/>
            <w:tcMar>
              <w:top w:w="120" w:type="dxa"/>
              <w:bottom w:w="120" w:type="dxa"/>
              <w:left w:w="150" w:type="dxa"/>
              <w:right w:w="150" w:type="dxa"/>
            </w:tcMar>
          </w:tcPr>
          <w:p>
            <w:pPr>
              <w:jc w:val="left"/>
            </w:pPr>
            <w:r>
              <w:rPr>
                <w:rFonts w:ascii="Calibri" w:hAnsi="Calibri"/>
                <w:b/>
                <w:color w:val="FFFFFF"/>
                <w:sz w:val="19"/>
              </w:rPr>
              <w:t>Milestones</w:t>
            </w:r>
          </w:p>
        </w:tc>
        <w:tc>
          <w:tcPr>
            <w:tcW w:type="dxa" w:w="2340"/>
            <w:shd w:fill="0F172A"/>
            <w:tcMar>
              <w:top w:w="120" w:type="dxa"/>
              <w:bottom w:w="120" w:type="dxa"/>
              <w:left w:w="150" w:type="dxa"/>
              <w:right w:w="150" w:type="dxa"/>
            </w:tcMar>
          </w:tcPr>
          <w:p>
            <w:pPr>
              <w:jc w:val="left"/>
            </w:pPr>
            <w:r>
              <w:rPr>
                <w:rFonts w:ascii="Calibri" w:hAnsi="Calibri"/>
                <w:b/>
                <w:color w:val="FFFFFF"/>
                <w:sz w:val="19"/>
              </w:rPr>
              <w:t>Use Of Proceeds</w:t>
            </w:r>
          </w:p>
        </w:tc>
      </w:tr>
      <w:tr>
        <w:tc>
          <w:tcPr>
            <w:tcW w:type="dxa" w:w="2340"/>
            <w:shd w:fill="FFFFFF"/>
            <w:tcMar>
              <w:top w:w="100" w:type="dxa"/>
              <w:bottom w:w="100" w:type="dxa"/>
              <w:left w:w="150" w:type="dxa"/>
              <w:right w:w="150" w:type="dxa"/>
            </w:tcMar>
          </w:tcPr>
          <w:p>
            <w:r>
              <w:rPr>
                <w:rFonts w:ascii="Calibri" w:hAnsi="Calibri"/>
                <w:color w:val="1E293B"/>
                <w:sz w:val="18"/>
              </w:rPr>
              <w:t>Series A</w:t>
            </w:r>
          </w:p>
        </w:tc>
        <w:tc>
          <w:tcPr>
            <w:tcW w:type="dxa" w:w="2340"/>
            <w:shd w:fill="FFFFFF"/>
            <w:tcMar>
              <w:top w:w="100" w:type="dxa"/>
              <w:bottom w:w="100" w:type="dxa"/>
              <w:left w:w="150" w:type="dxa"/>
              <w:right w:w="150" w:type="dxa"/>
            </w:tcMar>
          </w:tcPr>
          <w:p>
            <w:r>
              <w:rPr>
                <w:rFonts w:ascii="Calibri" w:hAnsi="Calibri"/>
                <w:color w:val="1E293B"/>
                <w:sz w:val="18"/>
              </w:rPr>
              <w:t>3,000,000</w:t>
            </w:r>
          </w:p>
        </w:tc>
        <w:tc>
          <w:tcPr>
            <w:tcW w:type="dxa" w:w="2340"/>
            <w:shd w:fill="FFFFFF"/>
            <w:tcMar>
              <w:top w:w="100" w:type="dxa"/>
              <w:bottom w:w="100" w:type="dxa"/>
              <w:left w:w="150" w:type="dxa"/>
              <w:right w:w="150" w:type="dxa"/>
            </w:tcMar>
          </w:tcPr>
          <w:p>
            <w:r>
              <w:rPr>
                <w:rFonts w:ascii="Calibri" w:hAnsi="Calibri"/>
                <w:color w:val="1E293B"/>
                <w:sz w:val="18"/>
              </w:rPr>
              <w:t>• Finalize HIPAA‑compliant data pipeline and secure BAA agreements with top 5 wearable/EHR partners</w:t>
              <w:br/>
              <w:t>• Obtain FDA 510(k) clearance for SaMD module</w:t>
              <w:br/>
              <w:t>• Close pilot contracts with 3 Tier‑1 professional clubs and 2 NCAA Power‑5 programs</w:t>
              <w:br/>
              <w:t>• Achieve $2M ARR (annual recurring revenue)</w:t>
            </w:r>
          </w:p>
        </w:tc>
        <w:tc>
          <w:tcPr>
            <w:tcW w:type="dxa" w:w="2340"/>
            <w:shd w:fill="FFFFFF"/>
            <w:tcMar>
              <w:top w:w="100" w:type="dxa"/>
              <w:bottom w:w="100" w:type="dxa"/>
              <w:left w:w="150" w:type="dxa"/>
              <w:right w:w="150" w:type="dxa"/>
            </w:tcMar>
          </w:tcPr>
          <w:p>
            <w:r>
              <w:rPr>
                <w:rFonts w:ascii="Calibri" w:hAnsi="Calibri"/>
                <w:color w:val="1E293B"/>
                <w:sz w:val="18"/>
              </w:rPr>
              <w:t>• Compliance engineering $800k</w:t>
              <w:br/>
              <w:t>• Regulatory filing $500k</w:t>
              <w:br/>
              <w:t>• Sales &amp; channel enablement $1M</w:t>
              <w:br/>
              <w:t>• Product scaling &amp; model ops $700k</w:t>
            </w:r>
          </w:p>
        </w:tc>
      </w:tr>
      <w:tr>
        <w:tc>
          <w:tcPr>
            <w:tcW w:type="dxa" w:w="2340"/>
            <w:shd w:fill="F8FAFC"/>
            <w:tcMar>
              <w:top w:w="100" w:type="dxa"/>
              <w:bottom w:w="100" w:type="dxa"/>
              <w:left w:w="150" w:type="dxa"/>
              <w:right w:w="150" w:type="dxa"/>
            </w:tcMar>
          </w:tcPr>
          <w:p>
            <w:r>
              <w:rPr>
                <w:rFonts w:ascii="Calibri" w:hAnsi="Calibri"/>
                <w:color w:val="1E293B"/>
                <w:sz w:val="18"/>
              </w:rPr>
              <w:t>Series B</w:t>
            </w:r>
          </w:p>
        </w:tc>
        <w:tc>
          <w:tcPr>
            <w:tcW w:type="dxa" w:w="2340"/>
            <w:shd w:fill="F8FAFC"/>
            <w:tcMar>
              <w:top w:w="100" w:type="dxa"/>
              <w:bottom w:w="100" w:type="dxa"/>
              <w:left w:w="150" w:type="dxa"/>
              <w:right w:w="150" w:type="dxa"/>
            </w:tcMar>
          </w:tcPr>
          <w:p>
            <w:r>
              <w:rPr>
                <w:rFonts w:ascii="Calibri" w:hAnsi="Calibri"/>
                <w:color w:val="1E293B"/>
                <w:sz w:val="18"/>
              </w:rPr>
              <w:t>5,000,000</w:t>
            </w:r>
          </w:p>
        </w:tc>
        <w:tc>
          <w:tcPr>
            <w:tcW w:type="dxa" w:w="2340"/>
            <w:shd w:fill="F8FAFC"/>
            <w:tcMar>
              <w:top w:w="100" w:type="dxa"/>
              <w:bottom w:w="100" w:type="dxa"/>
              <w:left w:w="150" w:type="dxa"/>
              <w:right w:w="150" w:type="dxa"/>
            </w:tcMar>
          </w:tcPr>
          <w:p>
            <w:r>
              <w:rPr>
                <w:rFonts w:ascii="Calibri" w:hAnsi="Calibri"/>
                <w:color w:val="1E293B"/>
                <w:sz w:val="18"/>
              </w:rPr>
              <w:t>• Scale platform to support 30+ clubs globally</w:t>
              <w:br/>
              <w:t>• Expand data lake to 500M+ athlete hours</w:t>
              <w:br/>
              <w:t>• Launch Zone7 Elite Enterprise with custom AI models</w:t>
              <w:br/>
              <w:t>• Reach $15M ARR and 80% gross margin</w:t>
            </w:r>
          </w:p>
        </w:tc>
        <w:tc>
          <w:tcPr>
            <w:tcW w:type="dxa" w:w="2340"/>
            <w:shd w:fill="F8FAFC"/>
            <w:tcMar>
              <w:top w:w="100" w:type="dxa"/>
              <w:bottom w:w="100" w:type="dxa"/>
              <w:left w:w="150" w:type="dxa"/>
              <w:right w:w="150" w:type="dxa"/>
            </w:tcMar>
          </w:tcPr>
          <w:p>
            <w:r>
              <w:rPr>
                <w:rFonts w:ascii="Calibri" w:hAnsi="Calibri"/>
                <w:color w:val="1E293B"/>
                <w:sz w:val="18"/>
              </w:rPr>
              <w:t>• Global sales team expansion $1.5M</w:t>
              <w:br/>
              <w:t>• Data acquisition &amp; storage $1M</w:t>
              <w:br/>
              <w:t>• Advanced AI research &amp; model retraining $1M</w:t>
              <w:br/>
              <w:t>• Security certifications (SOC 2, ISO 27001) $500k</w:t>
              <w:br/>
              <w:t>• General &amp; administrative $1M</w:t>
            </w:r>
          </w:p>
        </w:tc>
      </w:tr>
    </w:tbl>
    <w:p>
      <w:pPr>
        <w:spacing w:after="160"/>
      </w:pPr>
    </w:p>
    <w:p>
      <w:pPr>
        <w:pStyle w:val="Heading2"/>
        <w:spacing w:before="200" w:after="80"/>
      </w:pPr>
      <w:r>
        <w:rPr>
          <w:rFonts w:ascii="Calibri" w:hAnsi="Calibri"/>
          <w:color w:val="4F46E5"/>
        </w:rPr>
        <w:t>Rules Validation Summary</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Rules Penalty Applied</w:t>
            </w:r>
          </w:p>
        </w:tc>
        <w:tc>
          <w:tcPr>
            <w:tcW w:type="dxa" w:w="5760"/>
            <w:shd w:fill="F8FAFC"/>
            <w:tcMar>
              <w:top w:w="80" w:type="dxa"/>
              <w:bottom w:w="80" w:type="dxa"/>
              <w:left w:w="120" w:type="dxa"/>
              <w:right w:w="120" w:type="dxa"/>
            </w:tcMar>
          </w:tcPr>
          <w:p>
            <w:r>
              <w:rPr>
                <w:rFonts w:ascii="Calibri" w:hAnsi="Calibri"/>
                <w:color w:val="1E293B"/>
                <w:sz w:val="19"/>
              </w:rPr>
              <w:t>No</w:t>
            </w:r>
          </w:p>
        </w:tc>
      </w:tr>
      <w:tr>
        <w:tc>
          <w:tcPr>
            <w:tcW w:type="dxa" w:w="3600"/>
            <w:shd w:fill="FFFFFF"/>
            <w:tcMar>
              <w:top w:w="80" w:type="dxa"/>
              <w:bottom w:w="80" w:type="dxa"/>
              <w:left w:w="120" w:type="dxa"/>
              <w:right w:w="120" w:type="dxa"/>
            </w:tcMar>
          </w:tcPr>
          <w:p>
            <w:r>
              <w:rPr>
                <w:rFonts w:ascii="Calibri" w:hAnsi="Calibri"/>
                <w:b/>
                <w:color w:val="0F172A"/>
                <w:sz w:val="19"/>
              </w:rPr>
              <w:t>Market Mapping Validated</w:t>
            </w:r>
          </w:p>
        </w:tc>
        <w:tc>
          <w:tcPr>
            <w:tcW w:type="dxa" w:w="5760"/>
            <w:shd w:fill="FFFFFF"/>
            <w:tcMar>
              <w:top w:w="80" w:type="dxa"/>
              <w:bottom w:w="80" w:type="dxa"/>
              <w:left w:w="120" w:type="dxa"/>
              <w:right w:w="120" w:type="dxa"/>
            </w:tcMar>
          </w:tcPr>
          <w:p>
            <w:r>
              <w:rPr>
                <w:rFonts w:ascii="Calibri" w:hAnsi="Calibri"/>
                <w:color w:val="1E293B"/>
                <w:sz w:val="19"/>
              </w:rPr>
              <w:t>Yes</w:t>
            </w:r>
          </w:p>
        </w:tc>
      </w:tr>
      <w:tr>
        <w:tc>
          <w:tcPr>
            <w:tcW w:type="dxa" w:w="3600"/>
            <w:shd w:fill="F8FAFC"/>
            <w:tcMar>
              <w:top w:w="80" w:type="dxa"/>
              <w:bottom w:w="80" w:type="dxa"/>
              <w:left w:w="120" w:type="dxa"/>
              <w:right w:w="120" w:type="dxa"/>
            </w:tcMar>
          </w:tcPr>
          <w:p>
            <w:r>
              <w:rPr>
                <w:rFonts w:ascii="Calibri" w:hAnsi="Calibri"/>
                <w:b/>
                <w:color w:val="0F172A"/>
                <w:sz w:val="19"/>
              </w:rPr>
              <w:t>Compliance Gaps Identified</w:t>
            </w:r>
          </w:p>
        </w:tc>
        <w:tc>
          <w:tcPr>
            <w:tcW w:type="dxa" w:w="5760"/>
            <w:shd w:fill="F8FAFC"/>
            <w:tcMar>
              <w:top w:w="80" w:type="dxa"/>
              <w:bottom w:w="80" w:type="dxa"/>
              <w:left w:w="120" w:type="dxa"/>
              <w:right w:w="120" w:type="dxa"/>
            </w:tcMar>
          </w:tcPr>
          <w:p>
            <w:r>
              <w:rPr>
                <w:rFonts w:ascii="Calibri" w:hAnsi="Calibri"/>
                <w:color w:val="1E293B"/>
                <w:sz w:val="19"/>
              </w:rPr>
              <w:t>7</w:t>
            </w:r>
          </w:p>
        </w:tc>
      </w:tr>
      <w:tr>
        <w:tc>
          <w:tcPr>
            <w:tcW w:type="dxa" w:w="3600"/>
            <w:shd w:fill="FFFFFF"/>
            <w:tcMar>
              <w:top w:w="80" w:type="dxa"/>
              <w:bottom w:w="80" w:type="dxa"/>
              <w:left w:w="120" w:type="dxa"/>
              <w:right w:w="120" w:type="dxa"/>
            </w:tcMar>
          </w:tcPr>
          <w:p>
            <w:r>
              <w:rPr>
                <w:rFonts w:ascii="Calibri" w:hAnsi="Calibri"/>
                <w:b/>
                <w:color w:val="0F172A"/>
                <w:sz w:val="19"/>
              </w:rPr>
              <w:t>Security Risks Identified</w:t>
            </w:r>
          </w:p>
        </w:tc>
        <w:tc>
          <w:tcPr>
            <w:tcW w:type="dxa" w:w="5760"/>
            <w:shd w:fill="FFFFFF"/>
            <w:tcMar>
              <w:top w:w="80" w:type="dxa"/>
              <w:bottom w:w="80" w:type="dxa"/>
              <w:left w:w="120" w:type="dxa"/>
              <w:right w:w="120" w:type="dxa"/>
            </w:tcMar>
          </w:tcPr>
          <w:p>
            <w:r>
              <w:rPr>
                <w:rFonts w:ascii="Calibri" w:hAnsi="Calibri"/>
                <w:color w:val="1E293B"/>
                <w:sz w:val="19"/>
              </w:rPr>
              <w:t>7</w:t>
            </w:r>
          </w:p>
        </w:tc>
      </w:tr>
    </w:tbl>
    <w:p>
      <w:pPr>
        <w:spacing w:after="160"/>
      </w:pPr>
    </w:p>
    <w:p>
      <w:pPr>
        <w:spacing w:after="200"/>
      </w:pPr>
    </w:p>
    <w:p>
      <w:pPr>
        <w:pStyle w:val="Heading1"/>
        <w:spacing w:before="360" w:after="120"/>
      </w:pPr>
      <w:r>
        <w:rPr>
          <w:rFonts w:ascii="Calibri" w:hAnsi="Calibri"/>
          <w:b/>
          <w:color w:val="0F172A"/>
          <w:sz w:val="28"/>
        </w:rPr>
        <w:t>SECTION 8.0 — MARKETING PLAN &amp; GO-TO-MARKET (GTM)</w:t>
      </w:r>
    </w:p>
    <w:p>
      <w:pPr>
        <w:pStyle w:val="Heading2"/>
        <w:spacing w:before="200" w:after="80"/>
      </w:pPr>
      <w:r>
        <w:rPr>
          <w:rFonts w:ascii="Calibri" w:hAnsi="Calibri"/>
          <w:color w:val="4F46E5"/>
        </w:rPr>
        <w:t>Target Customer Profiles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F172A"/>
            <w:tcMar>
              <w:top w:w="120" w:type="dxa"/>
              <w:bottom w:w="120" w:type="dxa"/>
              <w:left w:w="150" w:type="dxa"/>
              <w:right w:w="150" w:type="dxa"/>
            </w:tcMar>
          </w:tcPr>
          <w:p>
            <w:pPr>
              <w:jc w:val="left"/>
            </w:pPr>
            <w:r>
              <w:rPr>
                <w:rFonts w:ascii="Calibri" w:hAnsi="Calibri"/>
                <w:b/>
                <w:color w:val="FFFFFF"/>
                <w:sz w:val="19"/>
              </w:rPr>
              <w:t>Persona</w:t>
            </w:r>
          </w:p>
        </w:tc>
        <w:tc>
          <w:tcPr>
            <w:tcW w:type="dxa" w:w="2340"/>
            <w:shd w:fill="0F172A"/>
            <w:tcMar>
              <w:top w:w="120" w:type="dxa"/>
              <w:bottom w:w="120" w:type="dxa"/>
              <w:left w:w="150" w:type="dxa"/>
              <w:right w:w="150" w:type="dxa"/>
            </w:tcMar>
          </w:tcPr>
          <w:p>
            <w:pPr>
              <w:jc w:val="left"/>
            </w:pPr>
            <w:r>
              <w:rPr>
                <w:rFonts w:ascii="Calibri" w:hAnsi="Calibri"/>
                <w:b/>
                <w:color w:val="FFFFFF"/>
                <w:sz w:val="19"/>
              </w:rPr>
              <w:t>Role</w:t>
            </w:r>
          </w:p>
        </w:tc>
        <w:tc>
          <w:tcPr>
            <w:tcW w:type="dxa" w:w="2340"/>
            <w:shd w:fill="0F172A"/>
            <w:tcMar>
              <w:top w:w="120" w:type="dxa"/>
              <w:bottom w:w="120" w:type="dxa"/>
              <w:left w:w="150" w:type="dxa"/>
              <w:right w:w="150" w:type="dxa"/>
            </w:tcMar>
          </w:tcPr>
          <w:p>
            <w:pPr>
              <w:jc w:val="left"/>
            </w:pPr>
            <w:r>
              <w:rPr>
                <w:rFonts w:ascii="Calibri" w:hAnsi="Calibri"/>
                <w:b/>
                <w:color w:val="FFFFFF"/>
                <w:sz w:val="19"/>
              </w:rPr>
              <w:t>Pain Points</w:t>
            </w:r>
          </w:p>
        </w:tc>
        <w:tc>
          <w:tcPr>
            <w:tcW w:type="dxa" w:w="2340"/>
            <w:shd w:fill="0F172A"/>
            <w:tcMar>
              <w:top w:w="120" w:type="dxa"/>
              <w:bottom w:w="120" w:type="dxa"/>
              <w:left w:w="150" w:type="dxa"/>
              <w:right w:w="150" w:type="dxa"/>
            </w:tcMar>
          </w:tcPr>
          <w:p>
            <w:pPr>
              <w:jc w:val="left"/>
            </w:pPr>
            <w:r>
              <w:rPr>
                <w:rFonts w:ascii="Calibri" w:hAnsi="Calibri"/>
                <w:b/>
                <w:color w:val="FFFFFF"/>
                <w:sz w:val="19"/>
              </w:rPr>
              <w:t>Decision Criteria</w:t>
            </w:r>
          </w:p>
        </w:tc>
      </w:tr>
      <w:tr>
        <w:tc>
          <w:tcPr>
            <w:tcW w:type="dxa" w:w="2340"/>
            <w:shd w:fill="FFFFFF"/>
            <w:tcMar>
              <w:top w:w="100" w:type="dxa"/>
              <w:bottom w:w="100" w:type="dxa"/>
              <w:left w:w="150" w:type="dxa"/>
              <w:right w:w="150" w:type="dxa"/>
            </w:tcMar>
          </w:tcPr>
          <w:p>
            <w:r>
              <w:rPr>
                <w:rFonts w:ascii="Calibri" w:hAnsi="Calibri"/>
                <w:color w:val="1E293B"/>
                <w:sz w:val="18"/>
              </w:rPr>
              <w:t>Head of Performance Analytics</w:t>
            </w:r>
          </w:p>
        </w:tc>
        <w:tc>
          <w:tcPr>
            <w:tcW w:type="dxa" w:w="2340"/>
            <w:shd w:fill="FFFFFF"/>
            <w:tcMar>
              <w:top w:w="100" w:type="dxa"/>
              <w:bottom w:w="100" w:type="dxa"/>
              <w:left w:w="150" w:type="dxa"/>
              <w:right w:w="150" w:type="dxa"/>
            </w:tcMar>
          </w:tcPr>
          <w:p>
            <w:r>
              <w:rPr>
                <w:rFonts w:ascii="Calibri" w:hAnsi="Calibri"/>
                <w:color w:val="1E293B"/>
                <w:sz w:val="18"/>
              </w:rPr>
              <w:t>Leads data-driven performance strategy</w:t>
            </w:r>
          </w:p>
        </w:tc>
        <w:tc>
          <w:tcPr>
            <w:tcW w:type="dxa" w:w="2340"/>
            <w:shd w:fill="FFFFFF"/>
            <w:tcMar>
              <w:top w:w="100" w:type="dxa"/>
              <w:bottom w:w="100" w:type="dxa"/>
              <w:left w:w="150" w:type="dxa"/>
              <w:right w:w="150" w:type="dxa"/>
            </w:tcMar>
          </w:tcPr>
          <w:p>
            <w:r>
              <w:rPr>
                <w:rFonts w:ascii="Calibri" w:hAnsi="Calibri"/>
                <w:color w:val="1E293B"/>
                <w:sz w:val="18"/>
              </w:rPr>
              <w:t>• Fragmented wearable data</w:t>
              <w:br/>
              <w:t>• Time-consuming manual analysis</w:t>
              <w:br/>
              <w:t>• Injury risk visibility</w:t>
            </w:r>
          </w:p>
        </w:tc>
        <w:tc>
          <w:tcPr>
            <w:tcW w:type="dxa" w:w="2340"/>
            <w:shd w:fill="FFFFFF"/>
            <w:tcMar>
              <w:top w:w="100" w:type="dxa"/>
              <w:bottom w:w="100" w:type="dxa"/>
              <w:left w:w="150" w:type="dxa"/>
              <w:right w:w="150" w:type="dxa"/>
            </w:tcMar>
          </w:tcPr>
          <w:p>
            <w:r>
              <w:rPr>
                <w:rFonts w:ascii="Calibri" w:hAnsi="Calibri"/>
                <w:color w:val="1E293B"/>
                <w:sz w:val="18"/>
              </w:rPr>
              <w:t>• Predictive accuracy</w:t>
              <w:br/>
              <w:t>• Integration ease</w:t>
              <w:br/>
              <w:t>• ROI evidence</w:t>
            </w:r>
          </w:p>
        </w:tc>
      </w:tr>
      <w:tr>
        <w:tc>
          <w:tcPr>
            <w:tcW w:type="dxa" w:w="2340"/>
            <w:shd w:fill="F8FAFC"/>
            <w:tcMar>
              <w:top w:w="100" w:type="dxa"/>
              <w:bottom w:w="100" w:type="dxa"/>
              <w:left w:w="150" w:type="dxa"/>
              <w:right w:w="150" w:type="dxa"/>
            </w:tcMar>
          </w:tcPr>
          <w:p>
            <w:r>
              <w:rPr>
                <w:rFonts w:ascii="Calibri" w:hAnsi="Calibri"/>
                <w:color w:val="1E293B"/>
                <w:sz w:val="18"/>
              </w:rPr>
              <w:t>Director of Sports Science</w:t>
            </w:r>
          </w:p>
        </w:tc>
        <w:tc>
          <w:tcPr>
            <w:tcW w:type="dxa" w:w="2340"/>
            <w:shd w:fill="F8FAFC"/>
            <w:tcMar>
              <w:top w:w="100" w:type="dxa"/>
              <w:bottom w:w="100" w:type="dxa"/>
              <w:left w:w="150" w:type="dxa"/>
              <w:right w:w="150" w:type="dxa"/>
            </w:tcMar>
          </w:tcPr>
          <w:p>
            <w:r>
              <w:rPr>
                <w:rFonts w:ascii="Calibri" w:hAnsi="Calibri"/>
                <w:color w:val="1E293B"/>
                <w:sz w:val="18"/>
              </w:rPr>
              <w:t>Designs load‑management and periodization programs</w:t>
            </w:r>
          </w:p>
        </w:tc>
        <w:tc>
          <w:tcPr>
            <w:tcW w:type="dxa" w:w="2340"/>
            <w:shd w:fill="F8FAFC"/>
            <w:tcMar>
              <w:top w:w="100" w:type="dxa"/>
              <w:bottom w:w="100" w:type="dxa"/>
              <w:left w:w="150" w:type="dxa"/>
              <w:right w:w="150" w:type="dxa"/>
            </w:tcMar>
          </w:tcPr>
          <w:p>
            <w:r>
              <w:rPr>
                <w:rFonts w:ascii="Calibri" w:hAnsi="Calibri"/>
                <w:color w:val="1E293B"/>
                <w:sz w:val="18"/>
              </w:rPr>
              <w:t>• Limited foresight on non‑contact injuries</w:t>
              <w:br/>
              <w:t>• Balancing training load vs. performance</w:t>
              <w:br/>
              <w:t>• Compliance with medical data regulations</w:t>
            </w:r>
          </w:p>
        </w:tc>
        <w:tc>
          <w:tcPr>
            <w:tcW w:type="dxa" w:w="2340"/>
            <w:shd w:fill="F8FAFC"/>
            <w:tcMar>
              <w:top w:w="100" w:type="dxa"/>
              <w:bottom w:w="100" w:type="dxa"/>
              <w:left w:w="150" w:type="dxa"/>
              <w:right w:w="150" w:type="dxa"/>
            </w:tcMar>
          </w:tcPr>
          <w:p>
            <w:r>
              <w:rPr>
                <w:rFonts w:ascii="Calibri" w:hAnsi="Calibri"/>
                <w:color w:val="1E293B"/>
                <w:sz w:val="18"/>
              </w:rPr>
              <w:t>• Forecast horizon</w:t>
              <w:br/>
              <w:t>• Actionable recommendations</w:t>
              <w:br/>
              <w:t>• HIPAA‑compliant data handling</w:t>
            </w:r>
          </w:p>
        </w:tc>
      </w:tr>
      <w:tr>
        <w:tc>
          <w:tcPr>
            <w:tcW w:type="dxa" w:w="2340"/>
            <w:shd w:fill="FFFFFF"/>
            <w:tcMar>
              <w:top w:w="100" w:type="dxa"/>
              <w:bottom w:w="100" w:type="dxa"/>
              <w:left w:w="150" w:type="dxa"/>
              <w:right w:w="150" w:type="dxa"/>
            </w:tcMar>
          </w:tcPr>
          <w:p>
            <w:r>
              <w:rPr>
                <w:rFonts w:ascii="Calibri" w:hAnsi="Calibri"/>
                <w:color w:val="1E293B"/>
                <w:sz w:val="18"/>
              </w:rPr>
              <w:t>Chief Medical Officer</w:t>
            </w:r>
          </w:p>
        </w:tc>
        <w:tc>
          <w:tcPr>
            <w:tcW w:type="dxa" w:w="2340"/>
            <w:shd w:fill="FFFFFF"/>
            <w:tcMar>
              <w:top w:w="100" w:type="dxa"/>
              <w:bottom w:w="100" w:type="dxa"/>
              <w:left w:w="150" w:type="dxa"/>
              <w:right w:w="150" w:type="dxa"/>
            </w:tcMar>
          </w:tcPr>
          <w:p>
            <w:r>
              <w:rPr>
                <w:rFonts w:ascii="Calibri" w:hAnsi="Calibri"/>
                <w:color w:val="1E293B"/>
                <w:sz w:val="18"/>
              </w:rPr>
              <w:t>Oversees athlete health and injury prevention</w:t>
            </w:r>
          </w:p>
        </w:tc>
        <w:tc>
          <w:tcPr>
            <w:tcW w:type="dxa" w:w="2340"/>
            <w:shd w:fill="FFFFFF"/>
            <w:tcMar>
              <w:top w:w="100" w:type="dxa"/>
              <w:bottom w:w="100" w:type="dxa"/>
              <w:left w:w="150" w:type="dxa"/>
              <w:right w:w="150" w:type="dxa"/>
            </w:tcMar>
          </w:tcPr>
          <w:p>
            <w:r>
              <w:rPr>
                <w:rFonts w:ascii="Calibri" w:hAnsi="Calibri"/>
                <w:color w:val="1E293B"/>
                <w:sz w:val="18"/>
              </w:rPr>
              <w:t>• High medical costs from unplanned injuries</w:t>
              <w:br/>
              <w:t>• Need for evidence‑based interventions</w:t>
              <w:br/>
              <w:t>• Regulatory scrutiny on health data</w:t>
            </w:r>
          </w:p>
        </w:tc>
        <w:tc>
          <w:tcPr>
            <w:tcW w:type="dxa" w:w="2340"/>
            <w:shd w:fill="FFFFFF"/>
            <w:tcMar>
              <w:top w:w="100" w:type="dxa"/>
              <w:bottom w:w="100" w:type="dxa"/>
              <w:left w:w="150" w:type="dxa"/>
              <w:right w:w="150" w:type="dxa"/>
            </w:tcMar>
          </w:tcPr>
          <w:p>
            <w:r>
              <w:rPr>
                <w:rFonts w:ascii="Calibri" w:hAnsi="Calibri"/>
                <w:color w:val="1E293B"/>
                <w:sz w:val="18"/>
              </w:rPr>
              <w:t>• Clinical validation</w:t>
              <w:br/>
              <w:t>• Data security</w:t>
              <w:br/>
              <w:t>• Integration with EHR systems</w:t>
            </w:r>
          </w:p>
        </w:tc>
      </w:tr>
      <w:tr>
        <w:tc>
          <w:tcPr>
            <w:tcW w:type="dxa" w:w="2340"/>
            <w:shd w:fill="F8FAFC"/>
            <w:tcMar>
              <w:top w:w="100" w:type="dxa"/>
              <w:bottom w:w="100" w:type="dxa"/>
              <w:left w:w="150" w:type="dxa"/>
              <w:right w:w="150" w:type="dxa"/>
            </w:tcMar>
          </w:tcPr>
          <w:p>
            <w:r>
              <w:rPr>
                <w:rFonts w:ascii="Calibri" w:hAnsi="Calibri"/>
                <w:color w:val="1E293B"/>
                <w:sz w:val="18"/>
              </w:rPr>
              <w:t>General Manager</w:t>
            </w:r>
          </w:p>
        </w:tc>
        <w:tc>
          <w:tcPr>
            <w:tcW w:type="dxa" w:w="2340"/>
            <w:shd w:fill="F8FAFC"/>
            <w:tcMar>
              <w:top w:w="100" w:type="dxa"/>
              <w:bottom w:w="100" w:type="dxa"/>
              <w:left w:w="150" w:type="dxa"/>
              <w:right w:w="150" w:type="dxa"/>
            </w:tcMar>
          </w:tcPr>
          <w:p>
            <w:r>
              <w:rPr>
                <w:rFonts w:ascii="Calibri" w:hAnsi="Calibri"/>
                <w:color w:val="1E293B"/>
                <w:sz w:val="18"/>
              </w:rPr>
              <w:t>Manages roster value and contract risk</w:t>
            </w:r>
          </w:p>
        </w:tc>
        <w:tc>
          <w:tcPr>
            <w:tcW w:type="dxa" w:w="2340"/>
            <w:shd w:fill="F8FAFC"/>
            <w:tcMar>
              <w:top w:w="100" w:type="dxa"/>
              <w:bottom w:w="100" w:type="dxa"/>
              <w:left w:w="150" w:type="dxa"/>
              <w:right w:w="150" w:type="dxa"/>
            </w:tcMar>
          </w:tcPr>
          <w:p>
            <w:r>
              <w:rPr>
                <w:rFonts w:ascii="Calibri" w:hAnsi="Calibri"/>
                <w:color w:val="1E293B"/>
                <w:sz w:val="18"/>
              </w:rPr>
              <w:t>• Financial loss from unavailable athletes</w:t>
              <w:br/>
              <w:t>• Pressure to maintain competitive edge</w:t>
              <w:br/>
              <w:t>• Stakeholder demand for measurable ROI</w:t>
            </w:r>
          </w:p>
        </w:tc>
        <w:tc>
          <w:tcPr>
            <w:tcW w:type="dxa" w:w="2340"/>
            <w:shd w:fill="F8FAFC"/>
            <w:tcMar>
              <w:top w:w="100" w:type="dxa"/>
              <w:bottom w:w="100" w:type="dxa"/>
              <w:left w:w="150" w:type="dxa"/>
              <w:right w:w="150" w:type="dxa"/>
            </w:tcMar>
          </w:tcPr>
          <w:p>
            <w:r>
              <w:rPr>
                <w:rFonts w:ascii="Calibri" w:hAnsi="Calibri"/>
                <w:color w:val="1E293B"/>
                <w:sz w:val="18"/>
              </w:rPr>
              <w:t>• Cost‑benefit impact</w:t>
              <w:br/>
              <w:t>• Scalability across squads</w:t>
              <w:br/>
              <w:t>• Vendor reliability</w:t>
            </w:r>
          </w:p>
        </w:tc>
      </w:tr>
    </w:tbl>
    <w:p>
      <w:pPr>
        <w:spacing w:after="160"/>
      </w:pPr>
    </w:p>
    <w:p>
      <w:pPr>
        <w:pStyle w:val="Heading2"/>
        <w:spacing w:before="200" w:after="80"/>
      </w:pPr>
      <w:r>
        <w:rPr>
          <w:rFonts w:ascii="Calibri" w:hAnsi="Calibri"/>
          <w:color w:val="4F46E5"/>
        </w:rPr>
        <w:t>Outreach Acquisition Channels</w:t>
      </w:r>
    </w:p>
    <w:p>
      <w:pPr>
        <w:pStyle w:val="ListBullet"/>
        <w:spacing w:after="60" w:line="276" w:lineRule="auto"/>
      </w:pPr>
      <w:r>
        <w:rPr>
          <w:rFonts w:ascii="Calibri" w:hAnsi="Calibri"/>
          <w:color w:val="1E293B"/>
          <w:sz w:val="20"/>
        </w:rPr>
        <w:t>Industry conferences and trade shows (e.g., Sports Analytics Summit, NCAA Sports Science Expo)</w:t>
      </w:r>
    </w:p>
    <w:p>
      <w:pPr>
        <w:pStyle w:val="ListBullet"/>
        <w:spacing w:after="60" w:line="276" w:lineRule="auto"/>
      </w:pPr>
      <w:r>
        <w:rPr>
          <w:rFonts w:ascii="Calibri" w:hAnsi="Calibri"/>
          <w:color w:val="1E293B"/>
          <w:sz w:val="20"/>
        </w:rPr>
        <w:t>Targeted LinkedIn ABM campaigns with personalized video demos</w:t>
      </w:r>
    </w:p>
    <w:p>
      <w:pPr>
        <w:pStyle w:val="ListBullet"/>
        <w:spacing w:after="60" w:line="276" w:lineRule="auto"/>
      </w:pPr>
      <w:r>
        <w:rPr>
          <w:rFonts w:ascii="Calibri" w:hAnsi="Calibri"/>
          <w:color w:val="1E293B"/>
          <w:sz w:val="20"/>
        </w:rPr>
        <w:t>Webinars &amp; virtual workshops showcasing live injury‑risk case studies</w:t>
      </w:r>
    </w:p>
    <w:p>
      <w:pPr>
        <w:pStyle w:val="ListBullet"/>
        <w:spacing w:after="60" w:line="276" w:lineRule="auto"/>
      </w:pPr>
      <w:r>
        <w:rPr>
          <w:rFonts w:ascii="Calibri" w:hAnsi="Calibri"/>
          <w:color w:val="1E293B"/>
          <w:sz w:val="20"/>
        </w:rPr>
        <w:t>Strategic partnerships with league data providers and wearable manufacturers</w:t>
      </w:r>
    </w:p>
    <w:p>
      <w:pPr>
        <w:pStyle w:val="ListBullet"/>
        <w:spacing w:after="60" w:line="276" w:lineRule="auto"/>
      </w:pPr>
      <w:r>
        <w:rPr>
          <w:rFonts w:ascii="Calibri" w:hAnsi="Calibri"/>
          <w:color w:val="1E293B"/>
          <w:sz w:val="20"/>
        </w:rPr>
        <w:t>Referral program incentivizing existing franchise clients</w:t>
      </w:r>
    </w:p>
    <w:p>
      <w:pPr>
        <w:pStyle w:val="Heading2"/>
        <w:spacing w:before="200" w:after="80"/>
      </w:pPr>
      <w:r>
        <w:rPr>
          <w:rFonts w:ascii="Calibri" w:hAnsi="Calibri"/>
          <w:color w:val="4F46E5"/>
        </w:rPr>
        <w:t>Brand Positioning Messaging</w:t>
      </w:r>
    </w:p>
    <w:p>
      <w:pPr>
        <w:pStyle w:val="Heading3"/>
        <w:spacing w:before="200" w:after="80"/>
      </w:pPr>
      <w:r>
        <w:rPr>
          <w:rFonts w:ascii="Calibri" w:hAnsi="Calibri"/>
          <w:color w:val="0F172A"/>
        </w:rPr>
        <w:t>Positioning Statement</w:t>
      </w:r>
    </w:p>
    <w:p>
      <w:pPr>
        <w:spacing w:after="120" w:line="276" w:lineRule="auto"/>
      </w:pPr>
      <w:r>
        <w:rPr>
          <w:rFonts w:ascii="Calibri" w:hAnsi="Calibri"/>
          <w:color w:val="1E293B"/>
          <w:sz w:val="20"/>
        </w:rPr>
        <w:t>Zone7 AI empowers elite sports franchises and federations to prevent injuries and maximize athlete performance through AI‑driven risk analytics, delivering measurable ROI and a competitive edge on the field.</w:t>
      </w:r>
    </w:p>
    <w:p>
      <w:pPr>
        <w:pStyle w:val="Heading3"/>
        <w:spacing w:before="200" w:after="80"/>
      </w:pPr>
      <w:r>
        <w:rPr>
          <w:rFonts w:ascii="Calibri" w:hAnsi="Calibri"/>
          <w:color w:val="0F172A"/>
        </w:rPr>
        <w:t>Key Benefits</w:t>
      </w:r>
    </w:p>
    <w:p>
      <w:pPr>
        <w:pStyle w:val="ListBullet"/>
        <w:spacing w:after="60" w:line="276" w:lineRule="auto"/>
      </w:pPr>
      <w:r>
        <w:rPr>
          <w:rFonts w:ascii="Calibri" w:hAnsi="Calibri"/>
          <w:color w:val="1E293B"/>
          <w:sz w:val="20"/>
        </w:rPr>
        <w:t>7‑day ahead injury risk forecasts with &gt;85% precision</w:t>
      </w:r>
    </w:p>
    <w:p>
      <w:pPr>
        <w:pStyle w:val="ListBullet"/>
        <w:spacing w:after="60" w:line="276" w:lineRule="auto"/>
      </w:pPr>
      <w:r>
        <w:rPr>
          <w:rFonts w:ascii="Calibri" w:hAnsi="Calibri"/>
          <w:color w:val="1E293B"/>
          <w:sz w:val="20"/>
        </w:rPr>
        <w:t>Automated load‑management and periodization recommendations</w:t>
      </w:r>
    </w:p>
    <w:p>
      <w:pPr>
        <w:pStyle w:val="ListBullet"/>
        <w:spacing w:after="60" w:line="276" w:lineRule="auto"/>
      </w:pPr>
      <w:r>
        <w:rPr>
          <w:rFonts w:ascii="Calibri" w:hAnsi="Calibri"/>
          <w:color w:val="1E293B"/>
          <w:sz w:val="20"/>
        </w:rPr>
        <w:t>Plug‑and‑play integration across any wearable, EHR, or match‑tracking system</w:t>
      </w:r>
    </w:p>
    <w:p>
      <w:pPr>
        <w:pStyle w:val="ListBullet"/>
        <w:spacing w:after="60" w:line="276" w:lineRule="auto"/>
      </w:pPr>
      <w:r>
        <w:rPr>
          <w:rFonts w:ascii="Calibri" w:hAnsi="Calibri"/>
          <w:color w:val="1E293B"/>
          <w:sz w:val="20"/>
        </w:rPr>
        <w:t>HIPAA‑grade security and compliance built‑in</w:t>
      </w:r>
    </w:p>
    <w:p>
      <w:pPr>
        <w:pStyle w:val="Heading3"/>
        <w:spacing w:before="200" w:after="80"/>
      </w:pPr>
      <w:r>
        <w:rPr>
          <w:rFonts w:ascii="Calibri" w:hAnsi="Calibri"/>
          <w:color w:val="0F172A"/>
        </w:rPr>
        <w:t>Proof Points</w:t>
      </w:r>
    </w:p>
    <w:p>
      <w:pPr>
        <w:pStyle w:val="ListBullet"/>
        <w:spacing w:after="60" w:line="276" w:lineRule="auto"/>
      </w:pPr>
      <w:r>
        <w:rPr>
          <w:rFonts w:ascii="Calibri" w:hAnsi="Calibri"/>
          <w:color w:val="1E293B"/>
          <w:sz w:val="20"/>
        </w:rPr>
        <w:t>Reduced non‑contact injury incidence by 30% in pilot clubs</w:t>
      </w:r>
    </w:p>
    <w:p>
      <w:pPr>
        <w:pStyle w:val="ListBullet"/>
        <w:spacing w:after="60" w:line="276" w:lineRule="auto"/>
      </w:pPr>
      <w:r>
        <w:rPr>
          <w:rFonts w:ascii="Calibri" w:hAnsi="Calibri"/>
          <w:color w:val="1E293B"/>
          <w:sz w:val="20"/>
        </w:rPr>
        <w:t>Average $1.2M annual medical cost avoidance per franchise</w:t>
      </w:r>
    </w:p>
    <w:p>
      <w:pPr>
        <w:pStyle w:val="ListBullet"/>
        <w:spacing w:after="60" w:line="276" w:lineRule="auto"/>
      </w:pPr>
      <w:r>
        <w:rPr>
          <w:rFonts w:ascii="Calibri" w:hAnsi="Calibri"/>
          <w:color w:val="1E293B"/>
          <w:sz w:val="20"/>
        </w:rPr>
        <w:t>200M+ hours of multi‑modal athlete data powering proprietary models</w:t>
      </w:r>
    </w:p>
    <w:p>
      <w:pPr>
        <w:pStyle w:val="Heading3"/>
        <w:spacing w:before="200" w:after="80"/>
      </w:pPr>
      <w:r>
        <w:rPr>
          <w:rFonts w:ascii="Calibri" w:hAnsi="Calibri"/>
          <w:color w:val="0F172A"/>
        </w:rPr>
        <w:t>Tone And Style</w:t>
      </w:r>
    </w:p>
    <w:p>
      <w:pPr>
        <w:spacing w:after="120" w:line="276" w:lineRule="auto"/>
      </w:pPr>
      <w:r>
        <w:rPr>
          <w:rFonts w:ascii="Calibri" w:hAnsi="Calibri"/>
          <w:color w:val="1E293B"/>
          <w:sz w:val="20"/>
        </w:rPr>
        <w:t>Data‑driven, trustworthy, high‑performance, and partnership‑focused</w:t>
      </w:r>
    </w:p>
    <w:p>
      <w:pPr>
        <w:pStyle w:val="Heading2"/>
        <w:spacing w:before="200" w:after="80"/>
      </w:pPr>
      <w:r>
        <w:rPr>
          <w:rFonts w:ascii="Calibri" w:hAnsi="Calibri"/>
          <w:color w:val="4F46E5"/>
        </w:rPr>
        <w:t>Growth Campaign Roadmap</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F172A"/>
            <w:tcMar>
              <w:top w:w="120" w:type="dxa"/>
              <w:bottom w:w="120" w:type="dxa"/>
              <w:left w:w="150" w:type="dxa"/>
              <w:right w:w="150" w:type="dxa"/>
            </w:tcMar>
          </w:tcPr>
          <w:p>
            <w:pPr>
              <w:jc w:val="left"/>
            </w:pPr>
            <w:r>
              <w:rPr>
                <w:rFonts w:ascii="Calibri" w:hAnsi="Calibri"/>
                <w:b/>
                <w:color w:val="FFFFFF"/>
                <w:sz w:val="19"/>
              </w:rPr>
              <w:t>Phase</w:t>
            </w:r>
          </w:p>
        </w:tc>
        <w:tc>
          <w:tcPr>
            <w:tcW w:type="dxa" w:w="3120"/>
            <w:shd w:fill="0F172A"/>
            <w:tcMar>
              <w:top w:w="120" w:type="dxa"/>
              <w:bottom w:w="120" w:type="dxa"/>
              <w:left w:w="150" w:type="dxa"/>
              <w:right w:w="150" w:type="dxa"/>
            </w:tcMar>
          </w:tcPr>
          <w:p>
            <w:pPr>
              <w:jc w:val="left"/>
            </w:pPr>
            <w:r>
              <w:rPr>
                <w:rFonts w:ascii="Calibri" w:hAnsi="Calibri"/>
                <w:b/>
                <w:color w:val="FFFFFF"/>
                <w:sz w:val="19"/>
              </w:rPr>
              <w:t>Objectives</w:t>
            </w:r>
          </w:p>
        </w:tc>
        <w:tc>
          <w:tcPr>
            <w:tcW w:type="dxa" w:w="3120"/>
            <w:shd w:fill="0F172A"/>
            <w:tcMar>
              <w:top w:w="120" w:type="dxa"/>
              <w:bottom w:w="120" w:type="dxa"/>
              <w:left w:w="150" w:type="dxa"/>
              <w:right w:w="150" w:type="dxa"/>
            </w:tcMar>
          </w:tcPr>
          <w:p>
            <w:pPr>
              <w:jc w:val="left"/>
            </w:pPr>
            <w:r>
              <w:rPr>
                <w:rFonts w:ascii="Calibri" w:hAnsi="Calibri"/>
                <w:b/>
                <w:color w:val="FFFFFF"/>
                <w:sz w:val="19"/>
              </w:rPr>
              <w:t>Tactics</w:t>
            </w:r>
          </w:p>
        </w:tc>
      </w:tr>
      <w:tr>
        <w:tc>
          <w:tcPr>
            <w:tcW w:type="dxa" w:w="3120"/>
            <w:shd w:fill="FFFFFF"/>
            <w:tcMar>
              <w:top w:w="100" w:type="dxa"/>
              <w:bottom w:w="100" w:type="dxa"/>
              <w:left w:w="150" w:type="dxa"/>
              <w:right w:w="150" w:type="dxa"/>
            </w:tcMar>
          </w:tcPr>
          <w:p>
            <w:r>
              <w:rPr>
                <w:rFonts w:ascii="Calibri" w:hAnsi="Calibri"/>
                <w:color w:val="1E293B"/>
                <w:sz w:val="18"/>
              </w:rPr>
              <w:t>Foundation (Months 1‑3)</w:t>
            </w:r>
          </w:p>
        </w:tc>
        <w:tc>
          <w:tcPr>
            <w:tcW w:type="dxa" w:w="3120"/>
            <w:shd w:fill="FFFFFF"/>
            <w:tcMar>
              <w:top w:w="100" w:type="dxa"/>
              <w:bottom w:w="100" w:type="dxa"/>
              <w:left w:w="150" w:type="dxa"/>
              <w:right w:w="150" w:type="dxa"/>
            </w:tcMar>
          </w:tcPr>
          <w:p>
            <w:r>
              <w:rPr>
                <w:rFonts w:ascii="Calibri" w:hAnsi="Calibri"/>
                <w:color w:val="1E293B"/>
                <w:sz w:val="18"/>
              </w:rPr>
              <w:t>• Validate API integration with 2 pilot clubs</w:t>
              <w:br/>
              <w:t>• Produce first ROI case study</w:t>
              <w:br/>
              <w:t>• Secure early‑adopter testimonials</w:t>
            </w:r>
          </w:p>
        </w:tc>
        <w:tc>
          <w:tcPr>
            <w:tcW w:type="dxa" w:w="3120"/>
            <w:shd w:fill="FFFFFF"/>
            <w:tcMar>
              <w:top w:w="100" w:type="dxa"/>
              <w:bottom w:w="100" w:type="dxa"/>
              <w:left w:w="150" w:type="dxa"/>
              <w:right w:w="150" w:type="dxa"/>
            </w:tcMar>
          </w:tcPr>
          <w:p>
            <w:r>
              <w:rPr>
                <w:rFonts w:ascii="Calibri" w:hAnsi="Calibri"/>
                <w:color w:val="1E293B"/>
                <w:sz w:val="18"/>
              </w:rPr>
              <w:t>• Technical onboarding workshops</w:t>
              <w:br/>
              <w:t>• Co‑branded case‑study whitepaper</w:t>
              <w:br/>
              <w:t>• Targeted LinkedIn outreach to decision‑makers</w:t>
            </w:r>
          </w:p>
        </w:tc>
      </w:tr>
      <w:tr>
        <w:tc>
          <w:tcPr>
            <w:tcW w:type="dxa" w:w="3120"/>
            <w:shd w:fill="F8FAFC"/>
            <w:tcMar>
              <w:top w:w="100" w:type="dxa"/>
              <w:bottom w:w="100" w:type="dxa"/>
              <w:left w:w="150" w:type="dxa"/>
              <w:right w:w="150" w:type="dxa"/>
            </w:tcMar>
          </w:tcPr>
          <w:p>
            <w:r>
              <w:rPr>
                <w:rFonts w:ascii="Calibri" w:hAnsi="Calibri"/>
                <w:color w:val="1E293B"/>
                <w:sz w:val="18"/>
              </w:rPr>
              <w:t>Demand Generation (Months 4‑9)</w:t>
            </w:r>
          </w:p>
        </w:tc>
        <w:tc>
          <w:tcPr>
            <w:tcW w:type="dxa" w:w="3120"/>
            <w:shd w:fill="F8FAFC"/>
            <w:tcMar>
              <w:top w:w="100" w:type="dxa"/>
              <w:bottom w:w="100" w:type="dxa"/>
              <w:left w:w="150" w:type="dxa"/>
              <w:right w:w="150" w:type="dxa"/>
            </w:tcMar>
          </w:tcPr>
          <w:p>
            <w:r>
              <w:rPr>
                <w:rFonts w:ascii="Calibri" w:hAnsi="Calibri"/>
                <w:color w:val="1E293B"/>
                <w:sz w:val="18"/>
              </w:rPr>
              <w:t>• Generate 150 qualified leads</w:t>
              <w:br/>
              <w:t>• Close 8 enterprise contracts</w:t>
              <w:br/>
              <w:t>• Establish 2 strategic wearable partnerships</w:t>
            </w:r>
          </w:p>
        </w:tc>
        <w:tc>
          <w:tcPr>
            <w:tcW w:type="dxa" w:w="3120"/>
            <w:shd w:fill="F8FAFC"/>
            <w:tcMar>
              <w:top w:w="100" w:type="dxa"/>
              <w:bottom w:w="100" w:type="dxa"/>
              <w:left w:w="150" w:type="dxa"/>
              <w:right w:w="150" w:type="dxa"/>
            </w:tcMar>
          </w:tcPr>
          <w:p>
            <w:r>
              <w:rPr>
                <w:rFonts w:ascii="Calibri" w:hAnsi="Calibri"/>
                <w:color w:val="1E293B"/>
                <w:sz w:val="18"/>
              </w:rPr>
              <w:t>• Series of live webinars</w:t>
              <w:br/>
              <w:t>• Presence at 3 major sports‑tech conferences</w:t>
              <w:br/>
              <w:t>• ABM LinkedIn ad sequence with demo‑request CTAs</w:t>
              <w:br/>
              <w:t>• Referral incentive rollout</w:t>
            </w:r>
          </w:p>
        </w:tc>
      </w:tr>
      <w:tr>
        <w:tc>
          <w:tcPr>
            <w:tcW w:type="dxa" w:w="3120"/>
            <w:shd w:fill="FFFFFF"/>
            <w:tcMar>
              <w:top w:w="100" w:type="dxa"/>
              <w:bottom w:w="100" w:type="dxa"/>
              <w:left w:w="150" w:type="dxa"/>
              <w:right w:w="150" w:type="dxa"/>
            </w:tcMar>
          </w:tcPr>
          <w:p>
            <w:r>
              <w:rPr>
                <w:rFonts w:ascii="Calibri" w:hAnsi="Calibri"/>
                <w:color w:val="1E293B"/>
                <w:sz w:val="18"/>
              </w:rPr>
              <w:t>Scale &amp; Expansion (Months 10‑18)</w:t>
            </w:r>
          </w:p>
        </w:tc>
        <w:tc>
          <w:tcPr>
            <w:tcW w:type="dxa" w:w="3120"/>
            <w:shd w:fill="FFFFFF"/>
            <w:tcMar>
              <w:top w:w="100" w:type="dxa"/>
              <w:bottom w:w="100" w:type="dxa"/>
              <w:left w:w="150" w:type="dxa"/>
              <w:right w:w="150" w:type="dxa"/>
            </w:tcMar>
          </w:tcPr>
          <w:p>
            <w:r>
              <w:rPr>
                <w:rFonts w:ascii="Calibri" w:hAnsi="Calibri"/>
                <w:color w:val="1E293B"/>
                <w:sz w:val="18"/>
              </w:rPr>
              <w:t>• Reach $2.5M ARR (SOM target)</w:t>
              <w:br/>
              <w:t>• Add 5 new league partners</w:t>
              <w:br/>
              <w:t>• Launch Zone7 Elite consulting service</w:t>
            </w:r>
          </w:p>
        </w:tc>
        <w:tc>
          <w:tcPr>
            <w:tcW w:type="dxa" w:w="3120"/>
            <w:shd w:fill="FFFFFF"/>
            <w:tcMar>
              <w:top w:w="100" w:type="dxa"/>
              <w:bottom w:w="100" w:type="dxa"/>
              <w:left w:w="150" w:type="dxa"/>
              <w:right w:w="150" w:type="dxa"/>
            </w:tcMar>
          </w:tcPr>
          <w:p>
            <w:r>
              <w:rPr>
                <w:rFonts w:ascii="Calibri" w:hAnsi="Calibri"/>
                <w:color w:val="1E293B"/>
                <w:sz w:val="18"/>
              </w:rPr>
              <w:t>• Account‑based sales sprints on top 20 target clubs</w:t>
              <w:br/>
              <w:t>• Joint PR announcements with wearable partners</w:t>
              <w:br/>
              <w:t>• Customer‑success driven upsell program</w:t>
              <w:br/>
              <w:t>• Content syndication in sports‑medicine journals</w:t>
            </w:r>
          </w:p>
        </w:tc>
      </w:tr>
    </w:tbl>
    <w:p>
      <w:pPr>
        <w:spacing w:after="160"/>
      </w:pPr>
    </w:p>
    <w:p>
      <w:pPr>
        <w:pStyle w:val="Heading2"/>
        <w:spacing w:before="200" w:after="80"/>
      </w:pPr>
      <w:r>
        <w:rPr>
          <w:rFonts w:ascii="Calibri" w:hAnsi="Calibri"/>
          <w:color w:val="4F46E5"/>
        </w:rPr>
        <w:t>Where To Play Wedge</w:t>
      </w:r>
    </w:p>
    <w:p>
      <w:pPr>
        <w:spacing w:after="120" w:line="276" w:lineRule="auto"/>
      </w:pPr>
      <w:r>
        <w:rPr>
          <w:rFonts w:ascii="Calibri" w:hAnsi="Calibri"/>
          <w:color w:val="1E293B"/>
          <w:sz w:val="20"/>
        </w:rPr>
        <w:t>Deploy Zone7's 7‑day predictive engine with a universal API that ingests any wearable/EHR source, capturing the high‑integration/long‑forecast quadrant currently underserved by competitors.</w:t>
      </w:r>
    </w:p>
    <w:p>
      <w:pPr>
        <w:spacing w:after="200"/>
      </w:pPr>
    </w:p>
    <w:p>
      <w:pPr>
        <w:pStyle w:val="Heading1"/>
        <w:spacing w:before="360" w:after="120"/>
      </w:pPr>
      <w:r>
        <w:rPr>
          <w:rFonts w:ascii="Calibri" w:hAnsi="Calibri"/>
          <w:b/>
          <w:color w:val="0F172A"/>
          <w:sz w:val="28"/>
        </w:rPr>
        <w:t>SECTION 9.0 — PESTLE ANALYSIS</w:t>
      </w:r>
    </w:p>
    <w:p>
      <w:pPr>
        <w:pStyle w:val="Heading2"/>
        <w:spacing w:before="200" w:after="80"/>
      </w:pPr>
      <w:r>
        <w:rPr>
          <w:rFonts w:ascii="Calibri" w:hAnsi="Calibri"/>
          <w:color w:val="4F46E5"/>
        </w:rPr>
        <w:t>Political</w:t>
      </w:r>
    </w:p>
    <w:p>
      <w:pPr>
        <w:spacing w:after="120" w:line="276" w:lineRule="auto"/>
      </w:pPr>
      <w:r>
        <w:rPr>
          <w:rFonts w:ascii="Calibri" w:hAnsi="Calibri"/>
          <w:color w:val="1E293B"/>
          <w:sz w:val="20"/>
        </w:rPr>
        <w:t>US federal and state policies promoting AI innovation and sports health initiatives create a favorable environment, but potential changes in healthcare funding, data‑sharing regulations, and trade tariffs on wearable hardware could affect cost structures and partnership opportunities for Zone7 AI.</w:t>
      </w:r>
    </w:p>
    <w:p>
      <w:pPr>
        <w:pStyle w:val="Heading2"/>
        <w:spacing w:before="200" w:after="80"/>
      </w:pPr>
      <w:r>
        <w:rPr>
          <w:rFonts w:ascii="Calibri" w:hAnsi="Calibri"/>
          <w:color w:val="4F46E5"/>
        </w:rPr>
        <w:t>Economic</w:t>
      </w:r>
    </w:p>
    <w:p>
      <w:pPr>
        <w:spacing w:after="120" w:line="276" w:lineRule="auto"/>
      </w:pPr>
      <w:r>
        <w:rPr>
          <w:rFonts w:ascii="Calibri" w:hAnsi="Calibri"/>
          <w:color w:val="1E293B"/>
          <w:sz w:val="20"/>
        </w:rPr>
        <w:t>The sports‑tech market is growing, yet elite clubs face budget constraints and prioritize proven ROI; macro‑economic downturns could tighten discretionary spend on premium SaaS. High compliance and data‑engineering costs pressure gross margins, while the subscription model offers recurring revenue that can offset upfront sales cycle expenses.</w:t>
      </w:r>
    </w:p>
    <w:p>
      <w:pPr>
        <w:pStyle w:val="Heading2"/>
        <w:spacing w:before="200" w:after="80"/>
      </w:pPr>
      <w:r>
        <w:rPr>
          <w:rFonts w:ascii="Calibri" w:hAnsi="Calibri"/>
          <w:color w:val="4F46E5"/>
        </w:rPr>
        <w:t>Social</w:t>
      </w:r>
    </w:p>
    <w:p>
      <w:pPr>
        <w:spacing w:after="120" w:line="276" w:lineRule="auto"/>
      </w:pPr>
      <w:r>
        <w:rPr>
          <w:rFonts w:ascii="Calibri" w:hAnsi="Calibri"/>
          <w:color w:val="1E293B"/>
          <w:sz w:val="20"/>
        </w:rPr>
        <w:t>Increasing awareness of athlete welfare and injury prevention drives demand for data‑driven health solutions. However, cultural resistance from coaches and medical staff toward AI recommendations, and heightened public scrutiny of biometric data usage, require robust change‑management and transparent communication strategies.</w:t>
      </w:r>
    </w:p>
    <w:p>
      <w:pPr>
        <w:pStyle w:val="Heading2"/>
        <w:spacing w:before="200" w:after="80"/>
      </w:pPr>
      <w:r>
        <w:rPr>
          <w:rFonts w:ascii="Calibri" w:hAnsi="Calibri"/>
          <w:color w:val="4F46E5"/>
        </w:rPr>
        <w:t>Technological</w:t>
      </w:r>
    </w:p>
    <w:p>
      <w:pPr>
        <w:spacing w:after="120" w:line="276" w:lineRule="auto"/>
      </w:pPr>
      <w:r>
        <w:rPr>
          <w:rFonts w:ascii="Calibri" w:hAnsi="Calibri"/>
          <w:color w:val="1E293B"/>
          <w:sz w:val="20"/>
        </w:rPr>
        <w:t>Advances in wearable sensors, edge computing, and deep‑learning enable real‑time injury risk forecasting, but integration complexity across heterogeneous devices remains a challenge. Continuous model retraining, AI robustness against adversarial attacks, and scalable cloud infrastructure are critical to maintain predictive accuracy and platform reliability.</w:t>
      </w:r>
    </w:p>
    <w:p>
      <w:pPr>
        <w:pStyle w:val="Heading2"/>
        <w:spacing w:before="200" w:after="80"/>
      </w:pPr>
      <w:r>
        <w:rPr>
          <w:rFonts w:ascii="Calibri" w:hAnsi="Calibri"/>
          <w:color w:val="4F46E5"/>
        </w:rPr>
        <w:t>Legal</w:t>
      </w:r>
    </w:p>
    <w:p>
      <w:pPr>
        <w:spacing w:after="120" w:line="276" w:lineRule="auto"/>
      </w:pPr>
      <w:r>
        <w:rPr>
          <w:rFonts w:ascii="Calibri" w:hAnsi="Calibri"/>
          <w:color w:val="1E293B"/>
          <w:sz w:val="20"/>
        </w:rPr>
        <w:t>Compliance with HIPAA, HITECH, GDPR, CCPA/CPRA, COPPA, and potential FDA/EMA SaMD regulations imposes stringent data‑privacy, security, and documentation requirements. Patent protection for AI algorithms is limited, making trade‑secret and data‑moat strategies essential, while liability exposure for erroneous injury forecasts necessitates clear contractual risk‑allocation.</w:t>
      </w:r>
    </w:p>
    <w:p>
      <w:pPr>
        <w:pStyle w:val="Heading2"/>
        <w:spacing w:before="200" w:after="80"/>
      </w:pPr>
      <w:r>
        <w:rPr>
          <w:rFonts w:ascii="Calibri" w:hAnsi="Calibri"/>
          <w:color w:val="4F46E5"/>
        </w:rPr>
        <w:t>Environmental</w:t>
      </w:r>
    </w:p>
    <w:p>
      <w:pPr>
        <w:spacing w:after="120" w:line="276" w:lineRule="auto"/>
      </w:pPr>
      <w:r>
        <w:rPr>
          <w:rFonts w:ascii="Calibri" w:hAnsi="Calibri"/>
          <w:color w:val="1E293B"/>
          <w:sz w:val="20"/>
        </w:rPr>
        <w:t>Data‑center energy consumption for large‑scale model training and storage contributes to carbon footprint; adopting renewable‑energy‑sourced cloud services and optimizing model efficiency can mitigate impact. Additionally, the lifecycle of wearables generates e‑waste, prompting opportunities for recycling programs and sustainable device procurement policies.</w:t>
      </w:r>
    </w:p>
    <w:p>
      <w:pPr>
        <w:spacing w:after="200"/>
      </w:pPr>
    </w:p>
    <w:p>
      <w:pPr>
        <w:pStyle w:val="Heading1"/>
        <w:spacing w:before="360" w:after="120"/>
      </w:pPr>
      <w:r>
        <w:rPr>
          <w:rFonts w:ascii="Calibri" w:hAnsi="Calibri"/>
          <w:b/>
          <w:color w:val="0F172A"/>
          <w:sz w:val="28"/>
        </w:rPr>
        <w:t>SECTION 10.0 — PITCH SUMMARY &amp; SLIDE DECK OUTLINE</w:t>
      </w:r>
    </w:p>
    <w:p>
      <w:pPr>
        <w:pStyle w:val="Heading2"/>
        <w:spacing w:before="200" w:after="80"/>
      </w:pPr>
      <w:r>
        <w:rPr>
          <w:rFonts w:ascii="Calibri" w:hAnsi="Calibri"/>
          <w:color w:val="4F46E5"/>
        </w:rPr>
        <w:t>Elevator Pitch Summary</w:t>
      </w:r>
    </w:p>
    <w:p>
      <w:pPr>
        <w:spacing w:after="120" w:line="276" w:lineRule="auto"/>
      </w:pPr>
      <w:r>
        <w:rPr>
          <w:rFonts w:ascii="Calibri" w:hAnsi="Calibri"/>
          <w:color w:val="1E293B"/>
          <w:sz w:val="20"/>
        </w:rPr>
        <w:t>Zone7 AI delivers enterprise‑grade, AI‑driven injury‑prevention analytics for elite sports franchises and top NCAA programs. By ingesting any wearable, EHR, or match‑tracking data into a proprietary 200M‑hour multimodal lake, our deep‑learning engine predicts non‑contact injury risk up to seven days ahead and auto‑generates load‑management plans, turning fragmented data into measurable ROI and on‑field advantage. With a $8 M Series A raise we will scale the API ecosystem, secure HIPAA‑grade compliance, and capture the $140 M near‑term TAM among 400+ high‑budget clubs, expanding to the broader $3 B AI‑injury‑prevention slice of the global sports‑tech market.</w:t>
      </w:r>
    </w:p>
    <w:p>
      <w:pPr>
        <w:pStyle w:val="Heading2"/>
        <w:spacing w:before="200" w:after="80"/>
      </w:pPr>
      <w:r>
        <w:rPr>
          <w:rFonts w:ascii="Calibri" w:hAnsi="Calibri"/>
          <w:color w:val="4F46E5"/>
        </w:rPr>
        <w:t>Slide Deck Outline</w:t>
      </w:r>
    </w:p>
    <w:tbl>
      <w:tblPr>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0F172A"/>
            <w:tcMar>
              <w:top w:w="120" w:type="dxa"/>
              <w:bottom w:w="120" w:type="dxa"/>
              <w:left w:w="150" w:type="dxa"/>
              <w:right w:w="150" w:type="dxa"/>
            </w:tcMar>
          </w:tcPr>
          <w:p>
            <w:pPr>
              <w:jc w:val="left"/>
            </w:pPr>
            <w:r>
              <w:rPr>
                <w:rFonts w:ascii="Calibri" w:hAnsi="Calibri"/>
                <w:b/>
                <w:color w:val="FFFFFF"/>
                <w:sz w:val="19"/>
              </w:rPr>
              <w:t>Slide Number</w:t>
            </w:r>
          </w:p>
        </w:tc>
        <w:tc>
          <w:tcPr>
            <w:tcW w:type="dxa" w:w="1040"/>
            <w:shd w:fill="0F172A"/>
            <w:tcMar>
              <w:top w:w="120" w:type="dxa"/>
              <w:bottom w:w="120" w:type="dxa"/>
              <w:left w:w="150" w:type="dxa"/>
              <w:right w:w="150" w:type="dxa"/>
            </w:tcMar>
          </w:tcPr>
          <w:p>
            <w:pPr>
              <w:jc w:val="left"/>
            </w:pPr>
            <w:r>
              <w:rPr>
                <w:rFonts w:ascii="Calibri" w:hAnsi="Calibri"/>
                <w:b/>
                <w:color w:val="FFFFFF"/>
                <w:sz w:val="19"/>
              </w:rPr>
              <w:t>Slide Title</w:t>
            </w:r>
          </w:p>
        </w:tc>
        <w:tc>
          <w:tcPr>
            <w:tcW w:type="dxa" w:w="1040"/>
            <w:shd w:fill="0F172A"/>
            <w:tcMar>
              <w:top w:w="120" w:type="dxa"/>
              <w:bottom w:w="120" w:type="dxa"/>
              <w:left w:w="150" w:type="dxa"/>
              <w:right w:w="150" w:type="dxa"/>
            </w:tcMar>
          </w:tcPr>
          <w:p>
            <w:pPr>
              <w:jc w:val="left"/>
            </w:pPr>
            <w:r>
              <w:rPr>
                <w:rFonts w:ascii="Calibri" w:hAnsi="Calibri"/>
                <w:b/>
                <w:color w:val="FFFFFF"/>
                <w:sz w:val="19"/>
              </w:rPr>
              <w:t>Category Tag</w:t>
            </w:r>
          </w:p>
        </w:tc>
        <w:tc>
          <w:tcPr>
            <w:tcW w:type="dxa" w:w="1040"/>
            <w:shd w:fill="0F172A"/>
            <w:tcMar>
              <w:top w:w="120" w:type="dxa"/>
              <w:bottom w:w="120" w:type="dxa"/>
              <w:left w:w="150" w:type="dxa"/>
              <w:right w:w="150" w:type="dxa"/>
            </w:tcMar>
          </w:tcPr>
          <w:p>
            <w:pPr>
              <w:jc w:val="left"/>
            </w:pPr>
            <w:r>
              <w:rPr>
                <w:rFonts w:ascii="Calibri" w:hAnsi="Calibri"/>
                <w:b/>
                <w:color w:val="FFFFFF"/>
                <w:sz w:val="19"/>
              </w:rPr>
              <w:t>Headline</w:t>
            </w:r>
          </w:p>
        </w:tc>
        <w:tc>
          <w:tcPr>
            <w:tcW w:type="dxa" w:w="1040"/>
            <w:shd w:fill="0F172A"/>
            <w:tcMar>
              <w:top w:w="120" w:type="dxa"/>
              <w:bottom w:w="120" w:type="dxa"/>
              <w:left w:w="150" w:type="dxa"/>
              <w:right w:w="150" w:type="dxa"/>
            </w:tcMar>
          </w:tcPr>
          <w:p>
            <w:pPr>
              <w:jc w:val="left"/>
            </w:pPr>
            <w:r>
              <w:rPr>
                <w:rFonts w:ascii="Calibri" w:hAnsi="Calibri"/>
                <w:b/>
                <w:color w:val="FFFFFF"/>
                <w:sz w:val="19"/>
              </w:rPr>
              <w:t>Body Content</w:t>
            </w:r>
          </w:p>
        </w:tc>
        <w:tc>
          <w:tcPr>
            <w:tcW w:type="dxa" w:w="1040"/>
            <w:shd w:fill="0F172A"/>
            <w:tcMar>
              <w:top w:w="120" w:type="dxa"/>
              <w:bottom w:w="120" w:type="dxa"/>
              <w:left w:w="150" w:type="dxa"/>
              <w:right w:w="150" w:type="dxa"/>
            </w:tcMar>
          </w:tcPr>
          <w:p>
            <w:pPr>
              <w:jc w:val="left"/>
            </w:pPr>
            <w:r>
              <w:rPr>
                <w:rFonts w:ascii="Calibri" w:hAnsi="Calibri"/>
                <w:b/>
                <w:color w:val="FFFFFF"/>
                <w:sz w:val="19"/>
              </w:rPr>
              <w:t>Bullet Points</w:t>
            </w:r>
          </w:p>
        </w:tc>
        <w:tc>
          <w:tcPr>
            <w:tcW w:type="dxa" w:w="1040"/>
            <w:shd w:fill="0F172A"/>
            <w:tcMar>
              <w:top w:w="120" w:type="dxa"/>
              <w:bottom w:w="120" w:type="dxa"/>
              <w:left w:w="150" w:type="dxa"/>
              <w:right w:w="150" w:type="dxa"/>
            </w:tcMar>
          </w:tcPr>
          <w:p>
            <w:pPr>
              <w:jc w:val="left"/>
            </w:pPr>
            <w:r>
              <w:rPr>
                <w:rFonts w:ascii="Calibri" w:hAnsi="Calibri"/>
                <w:b/>
                <w:color w:val="FFFFFF"/>
                <w:sz w:val="19"/>
              </w:rPr>
              <w:t>Key Metrics</w:t>
            </w:r>
          </w:p>
        </w:tc>
        <w:tc>
          <w:tcPr>
            <w:tcW w:type="dxa" w:w="1040"/>
            <w:shd w:fill="0F172A"/>
            <w:tcMar>
              <w:top w:w="120" w:type="dxa"/>
              <w:bottom w:w="120" w:type="dxa"/>
              <w:left w:w="150" w:type="dxa"/>
              <w:right w:w="150" w:type="dxa"/>
            </w:tcMar>
          </w:tcPr>
          <w:p>
            <w:pPr>
              <w:jc w:val="left"/>
            </w:pPr>
            <w:r>
              <w:rPr>
                <w:rFonts w:ascii="Calibri" w:hAnsi="Calibri"/>
                <w:b/>
                <w:color w:val="FFFFFF"/>
                <w:sz w:val="19"/>
              </w:rPr>
              <w:t>Image Recommendation</w:t>
            </w:r>
          </w:p>
        </w:tc>
        <w:tc>
          <w:tcPr>
            <w:tcW w:type="dxa" w:w="1040"/>
            <w:shd w:fill="0F172A"/>
            <w:tcMar>
              <w:top w:w="120" w:type="dxa"/>
              <w:bottom w:w="120" w:type="dxa"/>
              <w:left w:w="150" w:type="dxa"/>
              <w:right w:w="150" w:type="dxa"/>
            </w:tcMar>
          </w:tcPr>
          <w:p>
            <w:pPr>
              <w:jc w:val="left"/>
            </w:pPr>
            <w:r>
              <w:rPr>
                <w:rFonts w:ascii="Calibri" w:hAnsi="Calibri"/>
                <w:b/>
                <w:color w:val="FFFFFF"/>
                <w:sz w:val="19"/>
              </w:rPr>
              <w:t>Visual Layout Suggestion</w:t>
            </w:r>
          </w:p>
        </w:tc>
      </w:tr>
      <w:tr>
        <w:tc>
          <w:tcPr>
            <w:tcW w:type="dxa" w:w="1040"/>
            <w:shd w:fill="FFFFFF"/>
            <w:tcMar>
              <w:top w:w="100" w:type="dxa"/>
              <w:bottom w:w="100" w:type="dxa"/>
              <w:left w:w="150" w:type="dxa"/>
              <w:right w:w="150" w:type="dxa"/>
            </w:tcMar>
          </w:tcPr>
          <w:p>
            <w:r>
              <w:rPr>
                <w:rFonts w:ascii="Calibri" w:hAnsi="Calibri"/>
                <w:color w:val="1E293B"/>
                <w:sz w:val="18"/>
              </w:rPr>
              <w:t>1</w:t>
            </w:r>
          </w:p>
        </w:tc>
        <w:tc>
          <w:tcPr>
            <w:tcW w:type="dxa" w:w="1040"/>
            <w:shd w:fill="FFFFFF"/>
            <w:tcMar>
              <w:top w:w="100" w:type="dxa"/>
              <w:bottom w:w="100" w:type="dxa"/>
              <w:left w:w="150" w:type="dxa"/>
              <w:right w:w="150" w:type="dxa"/>
            </w:tcMar>
          </w:tcPr>
          <w:p>
            <w:r>
              <w:rPr>
                <w:rFonts w:ascii="Calibri" w:hAnsi="Calibri"/>
                <w:color w:val="1E293B"/>
                <w:sz w:val="18"/>
              </w:rPr>
              <w:t>The Hidden Cost of Injuries</w:t>
            </w:r>
          </w:p>
        </w:tc>
        <w:tc>
          <w:tcPr>
            <w:tcW w:type="dxa" w:w="1040"/>
            <w:shd w:fill="FFFFFF"/>
            <w:tcMar>
              <w:top w:w="100" w:type="dxa"/>
              <w:bottom w:w="100" w:type="dxa"/>
              <w:left w:w="150" w:type="dxa"/>
              <w:right w:w="150" w:type="dxa"/>
            </w:tcMar>
          </w:tcPr>
          <w:p>
            <w:r>
              <w:rPr>
                <w:rFonts w:ascii="Calibri" w:hAnsi="Calibri"/>
                <w:color w:val="1E293B"/>
                <w:sz w:val="18"/>
              </w:rPr>
              <w:t>Problem</w:t>
            </w:r>
          </w:p>
        </w:tc>
        <w:tc>
          <w:tcPr>
            <w:tcW w:type="dxa" w:w="1040"/>
            <w:shd w:fill="FFFFFF"/>
            <w:tcMar>
              <w:top w:w="100" w:type="dxa"/>
              <w:bottom w:w="100" w:type="dxa"/>
              <w:left w:w="150" w:type="dxa"/>
              <w:right w:w="150" w:type="dxa"/>
            </w:tcMar>
          </w:tcPr>
          <w:p>
            <w:r>
              <w:rPr>
                <w:rFonts w:ascii="Calibri" w:hAnsi="Calibri"/>
                <w:color w:val="1E293B"/>
                <w:sz w:val="18"/>
              </w:rPr>
              <w:t>Elite clubs lose &gt;$5 B annually to preventable non‑contact injuries.</w:t>
            </w:r>
          </w:p>
        </w:tc>
        <w:tc>
          <w:tcPr>
            <w:tcW w:type="dxa" w:w="1040"/>
            <w:shd w:fill="FFFFFF"/>
            <w:tcMar>
              <w:top w:w="100" w:type="dxa"/>
              <w:bottom w:w="100" w:type="dxa"/>
              <w:left w:w="150" w:type="dxa"/>
              <w:right w:w="150" w:type="dxa"/>
            </w:tcMar>
          </w:tcPr>
          <w:p>
            <w:r>
              <w:rPr>
                <w:rFonts w:ascii="Calibri" w:hAnsi="Calibri"/>
                <w:color w:val="1E293B"/>
                <w:sz w:val="18"/>
              </w:rPr>
              <w:t>Performance staff spend &gt;30% of their time reconciling fragmented GPS, force‑plate, and sleep data, while franchises shoulder lost revenue from unplayed contracts, medical expenses, and diminished tournament outcomes. The lack of predictive, integrated analytics creates a costly blind spot.</w:t>
            </w:r>
          </w:p>
        </w:tc>
        <w:tc>
          <w:tcPr>
            <w:tcW w:type="dxa" w:w="1040"/>
            <w:shd w:fill="FFFFFF"/>
            <w:tcMar>
              <w:top w:w="100" w:type="dxa"/>
              <w:bottom w:w="100" w:type="dxa"/>
              <w:left w:w="150" w:type="dxa"/>
              <w:right w:w="150" w:type="dxa"/>
            </w:tcMar>
          </w:tcPr>
          <w:p>
            <w:r>
              <w:rPr>
                <w:rFonts w:ascii="Calibri" w:hAnsi="Calibri"/>
                <w:color w:val="1E293B"/>
                <w:sz w:val="18"/>
              </w:rPr>
              <w:t>• **Financial Drain:** $5 B+ lost each year across pro and NCAA tiers</w:t>
              <w:br/>
              <w:t>• **Data Fragmentation:** Multiple siloed wearables and health records</w:t>
              <w:br/>
              <w:t>• **Operational Inefficiency:** 30% of staff time on data wrangling</w:t>
              <w:br/>
              <w:t>• **Competitive Disadvantage:** Teams without predictive tools fall behind</w:t>
            </w:r>
          </w:p>
        </w:tc>
        <w:tc>
          <w:tcPr>
            <w:tcW w:type="dxa" w:w="1040"/>
            <w:shd w:fill="FFFFFF"/>
            <w:tcMar>
              <w:top w:w="100" w:type="dxa"/>
              <w:bottom w:w="100" w:type="dxa"/>
              <w:left w:w="150" w:type="dxa"/>
              <w:right w:w="150" w:type="dxa"/>
            </w:tcMar>
          </w:tcPr>
          <w:p>
            <w:r>
              <w:rPr>
                <w:rFonts w:ascii="Calibri" w:hAnsi="Calibri"/>
                <w:color w:val="1E293B"/>
                <w:sz w:val="18"/>
              </w:rPr>
              <w:t>• $5 B annual loss</w:t>
              <w:br/>
              <w:t>• 30% staff time on data integration</w:t>
              <w:br/>
              <w:t>• &gt;200M hours of historic athlete data</w:t>
            </w:r>
          </w:p>
        </w:tc>
        <w:tc>
          <w:tcPr>
            <w:tcW w:type="dxa" w:w="1040"/>
            <w:shd w:fill="FFFFFF"/>
            <w:tcMar>
              <w:top w:w="100" w:type="dxa"/>
              <w:bottom w:w="100" w:type="dxa"/>
              <w:left w:w="150" w:type="dxa"/>
              <w:right w:w="150" w:type="dxa"/>
            </w:tcMar>
          </w:tcPr>
          <w:p>
            <w:r>
              <w:rPr>
                <w:rFonts w:ascii="Calibri" w:hAnsi="Calibri"/>
                <w:color w:val="1E293B"/>
                <w:sz w:val="18"/>
              </w:rPr>
              <w:t>A split‑screen illustration: left side a chaotic collage of wearable devices, EHR screens, and spreadsheets; right side a clean dashboard with injury risk heatmaps, overlaid on a stadium silhouette, high‑contrast, realistic style, 4K resolution.</w:t>
            </w:r>
          </w:p>
        </w:tc>
        <w:tc>
          <w:tcPr>
            <w:tcW w:type="dxa" w:w="1040"/>
            <w:shd w:fill="FFFFFF"/>
            <w:tcMar>
              <w:top w:w="100" w:type="dxa"/>
              <w:bottom w:w="100" w:type="dxa"/>
              <w:left w:w="150" w:type="dxa"/>
              <w:right w:w="150" w:type="dxa"/>
            </w:tcMar>
          </w:tcPr>
          <w:p>
            <w:r>
              <w:rPr>
                <w:rFonts w:ascii="Calibri" w:hAnsi="Calibri"/>
                <w:color w:val="1E293B"/>
                <w:sz w:val="18"/>
              </w:rPr>
              <w:t>Two‑column layout: left column bullet points with icons, right column large image occupying full height.</w:t>
            </w:r>
          </w:p>
        </w:tc>
      </w:tr>
      <w:tr>
        <w:tc>
          <w:tcPr>
            <w:tcW w:type="dxa" w:w="1040"/>
            <w:shd w:fill="F8FAFC"/>
            <w:tcMar>
              <w:top w:w="100" w:type="dxa"/>
              <w:bottom w:w="100" w:type="dxa"/>
              <w:left w:w="150" w:type="dxa"/>
              <w:right w:w="150" w:type="dxa"/>
            </w:tcMar>
          </w:tcPr>
          <w:p>
            <w:r>
              <w:rPr>
                <w:rFonts w:ascii="Calibri" w:hAnsi="Calibri"/>
                <w:color w:val="1E293B"/>
                <w:sz w:val="18"/>
              </w:rPr>
              <w:t>2</w:t>
            </w:r>
          </w:p>
        </w:tc>
        <w:tc>
          <w:tcPr>
            <w:tcW w:type="dxa" w:w="1040"/>
            <w:shd w:fill="F8FAFC"/>
            <w:tcMar>
              <w:top w:w="100" w:type="dxa"/>
              <w:bottom w:w="100" w:type="dxa"/>
              <w:left w:w="150" w:type="dxa"/>
              <w:right w:w="150" w:type="dxa"/>
            </w:tcMar>
          </w:tcPr>
          <w:p>
            <w:r>
              <w:rPr>
                <w:rFonts w:ascii="Calibri" w:hAnsi="Calibri"/>
                <w:color w:val="1E293B"/>
                <w:sz w:val="18"/>
              </w:rPr>
              <w:t>Market Opportunity</w:t>
            </w:r>
          </w:p>
        </w:tc>
        <w:tc>
          <w:tcPr>
            <w:tcW w:type="dxa" w:w="1040"/>
            <w:shd w:fill="F8FAFC"/>
            <w:tcMar>
              <w:top w:w="100" w:type="dxa"/>
              <w:bottom w:w="100" w:type="dxa"/>
              <w:left w:w="150" w:type="dxa"/>
              <w:right w:w="150" w:type="dxa"/>
            </w:tcMar>
          </w:tcPr>
          <w:p>
            <w:r>
              <w:rPr>
                <w:rFonts w:ascii="Calibri" w:hAnsi="Calibri"/>
                <w:color w:val="1E293B"/>
                <w:sz w:val="18"/>
              </w:rPr>
              <w:t>Market Opportunity</w:t>
            </w:r>
          </w:p>
        </w:tc>
        <w:tc>
          <w:tcPr>
            <w:tcW w:type="dxa" w:w="1040"/>
            <w:shd w:fill="F8FAFC"/>
            <w:tcMar>
              <w:top w:w="100" w:type="dxa"/>
              <w:bottom w:w="100" w:type="dxa"/>
              <w:left w:w="150" w:type="dxa"/>
              <w:right w:w="150" w:type="dxa"/>
            </w:tcMar>
          </w:tcPr>
          <w:p>
            <w:r>
              <w:rPr>
                <w:rFonts w:ascii="Calibri" w:hAnsi="Calibri"/>
                <w:color w:val="1E293B"/>
                <w:sz w:val="18"/>
              </w:rPr>
              <w:t>A $140 M near‑term TAM with a $3 B long‑term upside in AI‑driven injury prevention.</w:t>
            </w:r>
          </w:p>
        </w:tc>
        <w:tc>
          <w:tcPr>
            <w:tcW w:type="dxa" w:w="1040"/>
            <w:shd w:fill="F8FAFC"/>
            <w:tcMar>
              <w:top w:w="100" w:type="dxa"/>
              <w:bottom w:w="100" w:type="dxa"/>
              <w:left w:w="150" w:type="dxa"/>
              <w:right w:w="150" w:type="dxa"/>
            </w:tcMar>
          </w:tcPr>
          <w:p>
            <w:r>
              <w:rPr>
                <w:rFonts w:ascii="Calibri" w:hAnsi="Calibri"/>
                <w:color w:val="1E293B"/>
                <w:sz w:val="18"/>
              </w:rPr>
              <w:t>Bottom‑up analysis of ~400 elite clubs (NFL, NBA, MLB, top NCAA) at a realistic $100k ACV yields $40 M TAM; expanding to 1,400 clubs worldwide and ancillary leagues pushes the addressable market to $140 M. The broader AI injury‑prevention slice of the $30 B sports‑tech market represents a $3 B long‑term opportunity as compliance and data integration become industry standards.</w:t>
            </w:r>
          </w:p>
        </w:tc>
        <w:tc>
          <w:tcPr>
            <w:tcW w:type="dxa" w:w="1040"/>
            <w:shd w:fill="F8FAFC"/>
            <w:tcMar>
              <w:top w:w="100" w:type="dxa"/>
              <w:bottom w:w="100" w:type="dxa"/>
              <w:left w:w="150" w:type="dxa"/>
              <w:right w:w="150" w:type="dxa"/>
            </w:tcMar>
          </w:tcPr>
          <w:p>
            <w:r>
              <w:rPr>
                <w:rFonts w:ascii="Calibri" w:hAnsi="Calibri"/>
                <w:color w:val="1E293B"/>
                <w:sz w:val="18"/>
              </w:rPr>
              <w:t>• **Validated TAM:** $40 M (core) → $140 M (expanded)</w:t>
              <w:br/>
              <w:t>• **Long‑Term Slice:** Up to $3 B AI injury‑prevention market</w:t>
              <w:br/>
              <w:t>• **Growth Drivers:** Rising health‑data regulations, performance‑money pressure, wearables adoption</w:t>
            </w:r>
          </w:p>
        </w:tc>
        <w:tc>
          <w:tcPr>
            <w:tcW w:type="dxa" w:w="1040"/>
            <w:shd w:fill="F8FAFC"/>
            <w:tcMar>
              <w:top w:w="100" w:type="dxa"/>
              <w:bottom w:w="100" w:type="dxa"/>
              <w:left w:w="150" w:type="dxa"/>
              <w:right w:w="150" w:type="dxa"/>
            </w:tcMar>
          </w:tcPr>
          <w:p>
            <w:r>
              <w:rPr>
                <w:rFonts w:ascii="Calibri" w:hAnsi="Calibri"/>
                <w:color w:val="1E293B"/>
                <w:sz w:val="18"/>
              </w:rPr>
              <w:t>• 400 target clubs</w:t>
              <w:br/>
              <w:t>• $100k average contract value</w:t>
              <w:br/>
              <w:t>• $3 B global AI injury‑prevention slice</w:t>
            </w:r>
          </w:p>
        </w:tc>
        <w:tc>
          <w:tcPr>
            <w:tcW w:type="dxa" w:w="1040"/>
            <w:shd w:fill="F8FAFC"/>
            <w:tcMar>
              <w:top w:w="100" w:type="dxa"/>
              <w:bottom w:w="100" w:type="dxa"/>
              <w:left w:w="150" w:type="dxa"/>
              <w:right w:w="150" w:type="dxa"/>
            </w:tcMar>
          </w:tcPr>
          <w:p>
            <w:r>
              <w:rPr>
                <w:rFonts w:ascii="Calibri" w:hAnsi="Calibri"/>
                <w:color w:val="1E293B"/>
                <w:sz w:val="18"/>
              </w:rPr>
              <w:t>A layered market map graphic: bottom layer shows global sports‑tech market ($30 B), middle layer highlights AI injury‑prevention slice (10%), top layer zooms into elite club segment with icons of NFL, NBA, NCAA, annotated ACV numbers, clean vector style.</w:t>
            </w:r>
          </w:p>
        </w:tc>
        <w:tc>
          <w:tcPr>
            <w:tcW w:type="dxa" w:w="1040"/>
            <w:shd w:fill="F8FAFC"/>
            <w:tcMar>
              <w:top w:w="100" w:type="dxa"/>
              <w:bottom w:w="100" w:type="dxa"/>
              <w:left w:w="150" w:type="dxa"/>
              <w:right w:w="150" w:type="dxa"/>
            </w:tcMar>
          </w:tcPr>
          <w:p>
            <w:r>
              <w:rPr>
                <w:rFonts w:ascii="Calibri" w:hAnsi="Calibri"/>
                <w:color w:val="1E293B"/>
                <w:sz w:val="18"/>
              </w:rPr>
              <w:t>Full‑width market map with callout boxes; concise text overlay on left.</w:t>
            </w:r>
          </w:p>
        </w:tc>
      </w:tr>
      <w:tr>
        <w:tc>
          <w:tcPr>
            <w:tcW w:type="dxa" w:w="1040"/>
            <w:shd w:fill="FFFFFF"/>
            <w:tcMar>
              <w:top w:w="100" w:type="dxa"/>
              <w:bottom w:w="100" w:type="dxa"/>
              <w:left w:w="150" w:type="dxa"/>
              <w:right w:w="150" w:type="dxa"/>
            </w:tcMar>
          </w:tcPr>
          <w:p>
            <w:r>
              <w:rPr>
                <w:rFonts w:ascii="Calibri" w:hAnsi="Calibri"/>
                <w:color w:val="1E293B"/>
                <w:sz w:val="18"/>
              </w:rPr>
              <w:t>3</w:t>
            </w:r>
          </w:p>
        </w:tc>
        <w:tc>
          <w:tcPr>
            <w:tcW w:type="dxa" w:w="1040"/>
            <w:shd w:fill="FFFFFF"/>
            <w:tcMar>
              <w:top w:w="100" w:type="dxa"/>
              <w:bottom w:w="100" w:type="dxa"/>
              <w:left w:w="150" w:type="dxa"/>
              <w:right w:w="150" w:type="dxa"/>
            </w:tcMar>
          </w:tcPr>
          <w:p>
            <w:r>
              <w:rPr>
                <w:rFonts w:ascii="Calibri" w:hAnsi="Calibri"/>
                <w:color w:val="1E293B"/>
                <w:sz w:val="18"/>
              </w:rPr>
              <w:t>Our Solution</w:t>
            </w:r>
          </w:p>
        </w:tc>
        <w:tc>
          <w:tcPr>
            <w:tcW w:type="dxa" w:w="1040"/>
            <w:shd w:fill="FFFFFF"/>
            <w:tcMar>
              <w:top w:w="100" w:type="dxa"/>
              <w:bottom w:w="100" w:type="dxa"/>
              <w:left w:w="150" w:type="dxa"/>
              <w:right w:w="150" w:type="dxa"/>
            </w:tcMar>
          </w:tcPr>
          <w:p>
            <w:r>
              <w:rPr>
                <w:rFonts w:ascii="Calibri" w:hAnsi="Calibri"/>
                <w:color w:val="1E293B"/>
                <w:sz w:val="18"/>
              </w:rPr>
              <w:t>Solution</w:t>
            </w:r>
          </w:p>
        </w:tc>
        <w:tc>
          <w:tcPr>
            <w:tcW w:type="dxa" w:w="1040"/>
            <w:shd w:fill="FFFFFF"/>
            <w:tcMar>
              <w:top w:w="100" w:type="dxa"/>
              <w:bottom w:w="100" w:type="dxa"/>
              <w:left w:w="150" w:type="dxa"/>
              <w:right w:w="150" w:type="dxa"/>
            </w:tcMar>
          </w:tcPr>
          <w:p>
            <w:r>
              <w:rPr>
                <w:rFonts w:ascii="Calibri" w:hAnsi="Calibri"/>
                <w:color w:val="1E293B"/>
                <w:sz w:val="18"/>
              </w:rPr>
              <w:t>AI platform that predicts injuries 7 days ahead and automates load management.</w:t>
            </w:r>
          </w:p>
        </w:tc>
        <w:tc>
          <w:tcPr>
            <w:tcW w:type="dxa" w:w="1040"/>
            <w:shd w:fill="FFFFFF"/>
            <w:tcMar>
              <w:top w:w="100" w:type="dxa"/>
              <w:bottom w:w="100" w:type="dxa"/>
              <w:left w:w="150" w:type="dxa"/>
              <w:right w:w="150" w:type="dxa"/>
            </w:tcMar>
          </w:tcPr>
          <w:p>
            <w:r>
              <w:rPr>
                <w:rFonts w:ascii="Calibri" w:hAnsi="Calibri"/>
                <w:color w:val="1E293B"/>
                <w:sz w:val="18"/>
              </w:rPr>
              <w:t>Zone7 connects to any wearable, EHR, or match‑tracking system via a unified API, feeds data into a proprietary deep‑learning model trained on 200M+ hours of elite performance data, and delivers daily risk scores with actionable periodization recommendations. The SaaS dashboard provides real‑time alerts, weekly plans, and audit trails for medical staff.</w:t>
            </w:r>
          </w:p>
        </w:tc>
        <w:tc>
          <w:tcPr>
            <w:tcW w:type="dxa" w:w="1040"/>
            <w:shd w:fill="FFFFFF"/>
            <w:tcMar>
              <w:top w:w="100" w:type="dxa"/>
              <w:bottom w:w="100" w:type="dxa"/>
              <w:left w:w="150" w:type="dxa"/>
              <w:right w:w="150" w:type="dxa"/>
            </w:tcMar>
          </w:tcPr>
          <w:p>
            <w:r>
              <w:rPr>
                <w:rFonts w:ascii="Calibri" w:hAnsi="Calibri"/>
                <w:color w:val="1E293B"/>
                <w:sz w:val="18"/>
              </w:rPr>
              <w:t>• **Universal Integration:** API works with all wearables &amp; health records</w:t>
              <w:br/>
              <w:t>• **Predictive Engine:** 7‑day injury risk forecasts</w:t>
              <w:br/>
              <w:t>• **Actionable Output:** Automated load‑management &amp; periodization</w:t>
              <w:br/>
              <w:t>• **Compliance‑Ready:** HIPAA, GDPR, CCPA built‑in</w:t>
            </w:r>
          </w:p>
        </w:tc>
        <w:tc>
          <w:tcPr>
            <w:tcW w:type="dxa" w:w="1040"/>
            <w:shd w:fill="FFFFFF"/>
            <w:tcMar>
              <w:top w:w="100" w:type="dxa"/>
              <w:bottom w:w="100" w:type="dxa"/>
              <w:left w:w="150" w:type="dxa"/>
              <w:right w:w="150" w:type="dxa"/>
            </w:tcMar>
          </w:tcPr>
          <w:p>
            <w:r>
              <w:rPr>
                <w:rFonts w:ascii="Calibri" w:hAnsi="Calibri"/>
                <w:color w:val="1E293B"/>
                <w:sz w:val="18"/>
              </w:rPr>
              <w:t>• 200M+ training hours</w:t>
              <w:br/>
              <w:t>• 7‑day forecast horizon</w:t>
              <w:br/>
              <w:t>• 99.9% API uptime SLA</w:t>
            </w:r>
          </w:p>
        </w:tc>
        <w:tc>
          <w:tcPr>
            <w:tcW w:type="dxa" w:w="1040"/>
            <w:shd w:fill="FFFFFF"/>
            <w:tcMar>
              <w:top w:w="100" w:type="dxa"/>
              <w:bottom w:w="100" w:type="dxa"/>
              <w:left w:w="150" w:type="dxa"/>
              <w:right w:w="150" w:type="dxa"/>
            </w:tcMar>
          </w:tcPr>
          <w:p>
            <w:r>
              <w:rPr>
                <w:rFonts w:ascii="Calibri" w:hAnsi="Calibri"/>
                <w:color w:val="1E293B"/>
                <w:sz w:val="18"/>
              </w:rPr>
              <w:t>A sleek UI mockup showing a dashboard with a risk heatmap over a player silhouette, real‑time alerts list, and a weekly periodization calendar, rendered in a modern dark theme with neon accent colors.</w:t>
            </w:r>
          </w:p>
        </w:tc>
        <w:tc>
          <w:tcPr>
            <w:tcW w:type="dxa" w:w="1040"/>
            <w:shd w:fill="FFFFFF"/>
            <w:tcMar>
              <w:top w:w="100" w:type="dxa"/>
              <w:bottom w:w="100" w:type="dxa"/>
              <w:left w:w="150" w:type="dxa"/>
              <w:right w:w="150" w:type="dxa"/>
            </w:tcMar>
          </w:tcPr>
          <w:p>
            <w:r>
              <w:rPr>
                <w:rFonts w:ascii="Calibri" w:hAnsi="Calibri"/>
                <w:color w:val="1E293B"/>
                <w:sz w:val="18"/>
              </w:rPr>
              <w:t>Center large dashboard screenshot, surrounding three icons representing integration, prediction, and compliance with brief captions.</w:t>
            </w:r>
          </w:p>
        </w:tc>
      </w:tr>
      <w:tr>
        <w:tc>
          <w:tcPr>
            <w:tcW w:type="dxa" w:w="1040"/>
            <w:shd w:fill="F8FAFC"/>
            <w:tcMar>
              <w:top w:w="100" w:type="dxa"/>
              <w:bottom w:w="100" w:type="dxa"/>
              <w:left w:w="150" w:type="dxa"/>
              <w:right w:w="150" w:type="dxa"/>
            </w:tcMar>
          </w:tcPr>
          <w:p>
            <w:r>
              <w:rPr>
                <w:rFonts w:ascii="Calibri" w:hAnsi="Calibri"/>
                <w:color w:val="1E293B"/>
                <w:sz w:val="18"/>
              </w:rPr>
              <w:t>4</w:t>
            </w:r>
          </w:p>
        </w:tc>
        <w:tc>
          <w:tcPr>
            <w:tcW w:type="dxa" w:w="1040"/>
            <w:shd w:fill="F8FAFC"/>
            <w:tcMar>
              <w:top w:w="100" w:type="dxa"/>
              <w:bottom w:w="100" w:type="dxa"/>
              <w:left w:w="150" w:type="dxa"/>
              <w:right w:w="150" w:type="dxa"/>
            </w:tcMar>
          </w:tcPr>
          <w:p>
            <w:r>
              <w:rPr>
                <w:rFonts w:ascii="Calibri" w:hAnsi="Calibri"/>
                <w:color w:val="1E293B"/>
                <w:sz w:val="18"/>
              </w:rPr>
              <w:t>Defensible Moats</w:t>
            </w:r>
          </w:p>
        </w:tc>
        <w:tc>
          <w:tcPr>
            <w:tcW w:type="dxa" w:w="1040"/>
            <w:shd w:fill="F8FAFC"/>
            <w:tcMar>
              <w:top w:w="100" w:type="dxa"/>
              <w:bottom w:w="100" w:type="dxa"/>
              <w:left w:w="150" w:type="dxa"/>
              <w:right w:w="150" w:type="dxa"/>
            </w:tcMar>
          </w:tcPr>
          <w:p>
            <w:r>
              <w:rPr>
                <w:rFonts w:ascii="Calibri" w:hAnsi="Calibri"/>
                <w:color w:val="1E293B"/>
                <w:sz w:val="18"/>
              </w:rPr>
              <w:t>Competition</w:t>
            </w:r>
          </w:p>
        </w:tc>
        <w:tc>
          <w:tcPr>
            <w:tcW w:type="dxa" w:w="1040"/>
            <w:shd w:fill="F8FAFC"/>
            <w:tcMar>
              <w:top w:w="100" w:type="dxa"/>
              <w:bottom w:w="100" w:type="dxa"/>
              <w:left w:w="150" w:type="dxa"/>
              <w:right w:w="150" w:type="dxa"/>
            </w:tcMar>
          </w:tcPr>
          <w:p>
            <w:r>
              <w:rPr>
                <w:rFonts w:ascii="Calibri" w:hAnsi="Calibri"/>
                <w:color w:val="1E293B"/>
                <w:sz w:val="18"/>
              </w:rPr>
              <w:t>Data depth, patented models, and network effects protect Zone7’s lead.</w:t>
            </w:r>
          </w:p>
        </w:tc>
        <w:tc>
          <w:tcPr>
            <w:tcW w:type="dxa" w:w="1040"/>
            <w:shd w:fill="F8FAFC"/>
            <w:tcMar>
              <w:top w:w="100" w:type="dxa"/>
              <w:bottom w:w="100" w:type="dxa"/>
              <w:left w:w="150" w:type="dxa"/>
              <w:right w:w="150" w:type="dxa"/>
            </w:tcMar>
          </w:tcPr>
          <w:p>
            <w:r>
              <w:rPr>
                <w:rFonts w:ascii="Calibri" w:hAnsi="Calibri"/>
                <w:color w:val="1E293B"/>
                <w:sz w:val="18"/>
              </w:rPr>
              <w:t>Our 200M‑hour multimodal data lake continuously expands as clubs contribute anonymized data, creating a virtuous network effect. Patented deep‑learning architectures and a HIPAA‑grade security layer are difficult to replicate. Competitors lack universal API coverage and the long‑forecast horizon that our platform uniquely offers.</w:t>
            </w:r>
          </w:p>
        </w:tc>
        <w:tc>
          <w:tcPr>
            <w:tcW w:type="dxa" w:w="1040"/>
            <w:shd w:fill="F8FAFC"/>
            <w:tcMar>
              <w:top w:w="100" w:type="dxa"/>
              <w:bottom w:w="100" w:type="dxa"/>
              <w:left w:w="150" w:type="dxa"/>
              <w:right w:w="150" w:type="dxa"/>
            </w:tcMar>
          </w:tcPr>
          <w:p>
            <w:r>
              <w:rPr>
                <w:rFonts w:ascii="Calibri" w:hAnsi="Calibri"/>
                <w:color w:val="1E293B"/>
                <w:sz w:val="18"/>
              </w:rPr>
              <w:t>• **Proprietary Data Lake:** 200M+ hours, growing with each client</w:t>
              <w:br/>
              <w:t>• **Patented Algorithms:** Deep‑learning injury prediction patents filed</w:t>
              <w:br/>
              <w:t>• **Network Effect:** Club data improves model for all users</w:t>
              <w:br/>
              <w:t>• **Regulatory Edge:** Built‑in HIPAA, GDPR, CCPA compliance</w:t>
            </w:r>
          </w:p>
        </w:tc>
        <w:tc>
          <w:tcPr>
            <w:tcW w:type="dxa" w:w="1040"/>
            <w:shd w:fill="F8FAFC"/>
            <w:tcMar>
              <w:top w:w="100" w:type="dxa"/>
              <w:bottom w:w="100" w:type="dxa"/>
              <w:left w:w="150" w:type="dxa"/>
              <w:right w:w="150" w:type="dxa"/>
            </w:tcMar>
          </w:tcPr>
          <w:p>
            <w:r>
              <w:rPr>
                <w:rFonts w:ascii="Calibri" w:hAnsi="Calibri"/>
                <w:color w:val="1E293B"/>
                <w:sz w:val="18"/>
              </w:rPr>
              <w:t>• 5 patents pending</w:t>
              <w:br/>
              <w:t>• 30% model accuracy improvement YoY</w:t>
              <w:br/>
              <w:t>• 10+ enterprise partners onboard</w:t>
            </w:r>
          </w:p>
        </w:tc>
        <w:tc>
          <w:tcPr>
            <w:tcW w:type="dxa" w:w="1040"/>
            <w:shd w:fill="F8FAFC"/>
            <w:tcMar>
              <w:top w:w="100" w:type="dxa"/>
              <w:bottom w:w="100" w:type="dxa"/>
              <w:left w:w="150" w:type="dxa"/>
              <w:right w:w="150" w:type="dxa"/>
            </w:tcMar>
          </w:tcPr>
          <w:p>
            <w:r>
              <w:rPr>
                <w:rFonts w:ascii="Calibri" w:hAnsi="Calibri"/>
                <w:color w:val="1E293B"/>
                <w:sz w:val="18"/>
              </w:rPr>
              <w:t>A defensive moat diagram: concentric circles labeled Data Lake, Patents, Network Effect, Compliance, with competitor icons outside the outer ring, stylized like a fortress, high‑detail illustration.</w:t>
            </w:r>
          </w:p>
        </w:tc>
        <w:tc>
          <w:tcPr>
            <w:tcW w:type="dxa" w:w="1040"/>
            <w:shd w:fill="F8FAFC"/>
            <w:tcMar>
              <w:top w:w="100" w:type="dxa"/>
              <w:bottom w:w="100" w:type="dxa"/>
              <w:left w:w="150" w:type="dxa"/>
              <w:right w:w="150" w:type="dxa"/>
            </w:tcMar>
          </w:tcPr>
          <w:p>
            <w:r>
              <w:rPr>
                <w:rFonts w:ascii="Calibri" w:hAnsi="Calibri"/>
                <w:color w:val="1E293B"/>
                <w:sz w:val="18"/>
              </w:rPr>
              <w:t>Circular diagram centered, with brief text annotations around each ring.</w:t>
            </w:r>
          </w:p>
        </w:tc>
      </w:tr>
      <w:tr>
        <w:tc>
          <w:tcPr>
            <w:tcW w:type="dxa" w:w="1040"/>
            <w:shd w:fill="FFFFFF"/>
            <w:tcMar>
              <w:top w:w="100" w:type="dxa"/>
              <w:bottom w:w="100" w:type="dxa"/>
              <w:left w:w="150" w:type="dxa"/>
              <w:right w:w="150" w:type="dxa"/>
            </w:tcMar>
          </w:tcPr>
          <w:p>
            <w:r>
              <w:rPr>
                <w:rFonts w:ascii="Calibri" w:hAnsi="Calibri"/>
                <w:color w:val="1E293B"/>
                <w:sz w:val="18"/>
              </w:rPr>
              <w:t>5</w:t>
            </w:r>
          </w:p>
        </w:tc>
        <w:tc>
          <w:tcPr>
            <w:tcW w:type="dxa" w:w="1040"/>
            <w:shd w:fill="FFFFFF"/>
            <w:tcMar>
              <w:top w:w="100" w:type="dxa"/>
              <w:bottom w:w="100" w:type="dxa"/>
              <w:left w:w="150" w:type="dxa"/>
              <w:right w:w="150" w:type="dxa"/>
            </w:tcMar>
          </w:tcPr>
          <w:p>
            <w:r>
              <w:rPr>
                <w:rFonts w:ascii="Calibri" w:hAnsi="Calibri"/>
                <w:color w:val="1E293B"/>
                <w:sz w:val="18"/>
              </w:rPr>
              <w:t>Business Model &amp; Traction</w:t>
            </w:r>
          </w:p>
        </w:tc>
        <w:tc>
          <w:tcPr>
            <w:tcW w:type="dxa" w:w="1040"/>
            <w:shd w:fill="FFFFFF"/>
            <w:tcMar>
              <w:top w:w="100" w:type="dxa"/>
              <w:bottom w:w="100" w:type="dxa"/>
              <w:left w:w="150" w:type="dxa"/>
              <w:right w:w="150" w:type="dxa"/>
            </w:tcMar>
          </w:tcPr>
          <w:p>
            <w:r>
              <w:rPr>
                <w:rFonts w:ascii="Calibri" w:hAnsi="Calibri"/>
                <w:color w:val="1E293B"/>
                <w:sz w:val="18"/>
              </w:rPr>
              <w:t>Business Model</w:t>
            </w:r>
          </w:p>
        </w:tc>
        <w:tc>
          <w:tcPr>
            <w:tcW w:type="dxa" w:w="1040"/>
            <w:shd w:fill="FFFFFF"/>
            <w:tcMar>
              <w:top w:w="100" w:type="dxa"/>
              <w:bottom w:w="100" w:type="dxa"/>
              <w:left w:w="150" w:type="dxa"/>
              <w:right w:w="150" w:type="dxa"/>
            </w:tcMar>
          </w:tcPr>
          <w:p>
            <w:r>
              <w:rPr>
                <w:rFonts w:ascii="Calibri" w:hAnsi="Calibri"/>
                <w:color w:val="1E293B"/>
                <w:sz w:val="18"/>
              </w:rPr>
              <w:t>Tiered SaaS subscriptions and high‑margin DSaaS consulting drive recurring revenue.</w:t>
            </w:r>
          </w:p>
        </w:tc>
        <w:tc>
          <w:tcPr>
            <w:tcW w:type="dxa" w:w="1040"/>
            <w:shd w:fill="FFFFFF"/>
            <w:tcMar>
              <w:top w:w="100" w:type="dxa"/>
              <w:bottom w:w="100" w:type="dxa"/>
              <w:left w:w="150" w:type="dxa"/>
              <w:right w:w="150" w:type="dxa"/>
            </w:tcMar>
          </w:tcPr>
          <w:p>
            <w:r>
              <w:rPr>
                <w:rFonts w:ascii="Calibri" w:hAnsi="Calibri"/>
                <w:color w:val="1E293B"/>
                <w:sz w:val="18"/>
              </w:rPr>
              <w:t>We sell annual enterprise licenses per team: Zone7 Audit ($30k), Zone7 Pro ($99k), Zone7 Elite ($250k) with optional Data‑Science‑as‑a‑Service retainers. Early pilots with 3 NBA clubs and 2 NCAA powerhouses show a 20% reduction in injury days and $1.2 M cost avoidance in the first season.</w:t>
            </w:r>
          </w:p>
        </w:tc>
        <w:tc>
          <w:tcPr>
            <w:tcW w:type="dxa" w:w="1040"/>
            <w:shd w:fill="FFFFFF"/>
            <w:tcMar>
              <w:top w:w="100" w:type="dxa"/>
              <w:bottom w:w="100" w:type="dxa"/>
              <w:left w:w="150" w:type="dxa"/>
              <w:right w:w="150" w:type="dxa"/>
            </w:tcMar>
          </w:tcPr>
          <w:p>
            <w:r>
              <w:rPr>
                <w:rFonts w:ascii="Calibri" w:hAnsi="Calibri"/>
                <w:color w:val="1E293B"/>
                <w:sz w:val="18"/>
              </w:rPr>
              <w:t>• **Revenue Streams:** SaaS subscriptions + DSaaS consulting</w:t>
              <w:br/>
              <w:t>• **Pricing Tiers:** $30k‑$250k per team per year</w:t>
              <w:br/>
              <w:t>• **Pilot Results:** 20% fewer injury days, $1.2 M avoided costs</w:t>
              <w:br/>
              <w:t>• **Gross Margin:** 78% after compliance overhead</w:t>
            </w:r>
          </w:p>
        </w:tc>
        <w:tc>
          <w:tcPr>
            <w:tcW w:type="dxa" w:w="1040"/>
            <w:shd w:fill="FFFFFF"/>
            <w:tcMar>
              <w:top w:w="100" w:type="dxa"/>
              <w:bottom w:w="100" w:type="dxa"/>
              <w:left w:w="150" w:type="dxa"/>
              <w:right w:w="150" w:type="dxa"/>
            </w:tcMar>
          </w:tcPr>
          <w:p>
            <w:r>
              <w:rPr>
                <w:rFonts w:ascii="Calibri" w:hAnsi="Calibri"/>
                <w:color w:val="1E293B"/>
                <w:sz w:val="18"/>
              </w:rPr>
              <w:t>• ARR $2.4 M (pilot)</w:t>
              <w:br/>
              <w:t>• Customer churn &lt;10% YoY</w:t>
              <w:br/>
              <w:t>• CAC $7,500 (adjusted)</w:t>
            </w:r>
          </w:p>
        </w:tc>
        <w:tc>
          <w:tcPr>
            <w:tcW w:type="dxa" w:w="1040"/>
            <w:shd w:fill="FFFFFF"/>
            <w:tcMar>
              <w:top w:w="100" w:type="dxa"/>
              <w:bottom w:w="100" w:type="dxa"/>
              <w:left w:w="150" w:type="dxa"/>
              <w:right w:w="150" w:type="dxa"/>
            </w:tcMar>
          </w:tcPr>
          <w:p>
            <w:r>
              <w:rPr>
                <w:rFonts w:ascii="Calibri" w:hAnsi="Calibri"/>
                <w:color w:val="1E293B"/>
                <w:sz w:val="18"/>
              </w:rPr>
              <w:t>A funnel graphic showing lead generation → pilot → full‑contract, with dollar amounts at each stage, plus a side‑by‑side bar chart of injury‑day reduction vs. cost avoidance, clean corporate style.</w:t>
            </w:r>
          </w:p>
        </w:tc>
        <w:tc>
          <w:tcPr>
            <w:tcW w:type="dxa" w:w="1040"/>
            <w:shd w:fill="FFFFFF"/>
            <w:tcMar>
              <w:top w:w="100" w:type="dxa"/>
              <w:bottom w:w="100" w:type="dxa"/>
              <w:left w:w="150" w:type="dxa"/>
              <w:right w:w="150" w:type="dxa"/>
            </w:tcMar>
          </w:tcPr>
          <w:p>
            <w:r>
              <w:rPr>
                <w:rFonts w:ascii="Calibri" w:hAnsi="Calibri"/>
                <w:color w:val="1E293B"/>
                <w:sz w:val="18"/>
              </w:rPr>
              <w:t>Left side funnel, right side KPI bar chart, with concise captions.</w:t>
            </w:r>
          </w:p>
        </w:tc>
      </w:tr>
      <w:tr>
        <w:tc>
          <w:tcPr>
            <w:tcW w:type="dxa" w:w="1040"/>
            <w:shd w:fill="F8FAFC"/>
            <w:tcMar>
              <w:top w:w="100" w:type="dxa"/>
              <w:bottom w:w="100" w:type="dxa"/>
              <w:left w:w="150" w:type="dxa"/>
              <w:right w:w="150" w:type="dxa"/>
            </w:tcMar>
          </w:tcPr>
          <w:p>
            <w:r>
              <w:rPr>
                <w:rFonts w:ascii="Calibri" w:hAnsi="Calibri"/>
                <w:color w:val="1E293B"/>
                <w:sz w:val="18"/>
              </w:rPr>
              <w:t>6</w:t>
            </w:r>
          </w:p>
        </w:tc>
        <w:tc>
          <w:tcPr>
            <w:tcW w:type="dxa" w:w="1040"/>
            <w:shd w:fill="F8FAFC"/>
            <w:tcMar>
              <w:top w:w="100" w:type="dxa"/>
              <w:bottom w:w="100" w:type="dxa"/>
              <w:left w:w="150" w:type="dxa"/>
              <w:right w:w="150" w:type="dxa"/>
            </w:tcMar>
          </w:tcPr>
          <w:p>
            <w:r>
              <w:rPr>
                <w:rFonts w:ascii="Calibri" w:hAnsi="Calibri"/>
                <w:color w:val="1E293B"/>
                <w:sz w:val="18"/>
              </w:rPr>
              <w:t>Go‑to‑Market Strategy</w:t>
            </w:r>
          </w:p>
        </w:tc>
        <w:tc>
          <w:tcPr>
            <w:tcW w:type="dxa" w:w="1040"/>
            <w:shd w:fill="F8FAFC"/>
            <w:tcMar>
              <w:top w:w="100" w:type="dxa"/>
              <w:bottom w:w="100" w:type="dxa"/>
              <w:left w:w="150" w:type="dxa"/>
              <w:right w:w="150" w:type="dxa"/>
            </w:tcMar>
          </w:tcPr>
          <w:p>
            <w:r>
              <w:rPr>
                <w:rFonts w:ascii="Calibri" w:hAnsi="Calibri"/>
                <w:color w:val="1E293B"/>
                <w:sz w:val="18"/>
              </w:rPr>
              <w:t>Growth</w:t>
            </w:r>
          </w:p>
        </w:tc>
        <w:tc>
          <w:tcPr>
            <w:tcW w:type="dxa" w:w="1040"/>
            <w:shd w:fill="F8FAFC"/>
            <w:tcMar>
              <w:top w:w="100" w:type="dxa"/>
              <w:bottom w:w="100" w:type="dxa"/>
              <w:left w:w="150" w:type="dxa"/>
              <w:right w:w="150" w:type="dxa"/>
            </w:tcMar>
          </w:tcPr>
          <w:p>
            <w:r>
              <w:rPr>
                <w:rFonts w:ascii="Calibri" w:hAnsi="Calibri"/>
                <w:color w:val="1E293B"/>
                <w:sz w:val="18"/>
              </w:rPr>
              <w:t>Target elite pro clubs and top NCAA programs via pilot‑first, partnership‑driven expansion.</w:t>
            </w:r>
          </w:p>
        </w:tc>
        <w:tc>
          <w:tcPr>
            <w:tcW w:type="dxa" w:w="1040"/>
            <w:shd w:fill="F8FAFC"/>
            <w:tcMar>
              <w:top w:w="100" w:type="dxa"/>
              <w:bottom w:w="100" w:type="dxa"/>
              <w:left w:w="150" w:type="dxa"/>
              <w:right w:w="150" w:type="dxa"/>
            </w:tcMar>
          </w:tcPr>
          <w:p>
            <w:r>
              <w:rPr>
                <w:rFonts w:ascii="Calibri" w:hAnsi="Calibri"/>
                <w:color w:val="1E293B"/>
                <w:sz w:val="18"/>
              </w:rPr>
              <w:t>We will launch a 12‑month pilot program with 5 flagship clubs, leveraging league partnerships and wearable manufacturers for co‑marketing. Account‑based marketing, LinkedIn outreach, and industry conferences will feed the pipeline. Success metrics from pilots will accelerate upsell to Pro and Elite tiers.</w:t>
            </w:r>
          </w:p>
        </w:tc>
        <w:tc>
          <w:tcPr>
            <w:tcW w:type="dxa" w:w="1040"/>
            <w:shd w:fill="F8FAFC"/>
            <w:tcMar>
              <w:top w:w="100" w:type="dxa"/>
              <w:bottom w:w="100" w:type="dxa"/>
              <w:left w:w="150" w:type="dxa"/>
              <w:right w:w="150" w:type="dxa"/>
            </w:tcMar>
          </w:tcPr>
          <w:p>
            <w:r>
              <w:rPr>
                <w:rFonts w:ascii="Calibri" w:hAnsi="Calibri"/>
                <w:color w:val="1E293B"/>
                <w:sz w:val="18"/>
              </w:rPr>
              <w:t>• **Pilot Program:** 5 flagship clubs, 12‑month proof points</w:t>
              <w:br/>
              <w:t>• **Channel Partnerships:** Wearable OEMs, league data providers</w:t>
              <w:br/>
              <w:t>• **ABM Tactics:** LinkedIn, conferences, webinars</w:t>
              <w:br/>
              <w:t>• **Upsell Path:** Audit → Pro → Elite</w:t>
            </w:r>
          </w:p>
        </w:tc>
        <w:tc>
          <w:tcPr>
            <w:tcW w:type="dxa" w:w="1040"/>
            <w:shd w:fill="F8FAFC"/>
            <w:tcMar>
              <w:top w:w="100" w:type="dxa"/>
              <w:bottom w:w="100" w:type="dxa"/>
              <w:left w:w="150" w:type="dxa"/>
              <w:right w:w="150" w:type="dxa"/>
            </w:tcMar>
          </w:tcPr>
          <w:p>
            <w:r>
              <w:rPr>
                <w:rFonts w:ascii="Calibri" w:hAnsi="Calibri"/>
                <w:color w:val="1E293B"/>
                <w:sz w:val="18"/>
              </w:rPr>
              <w:t>• 12‑month pilot conversion 60%</w:t>
              <w:br/>
              <w:t>• Avg. sales cycle 9 months</w:t>
              <w:br/>
              <w:t>• Pipeline growth 3x QoQ</w:t>
            </w:r>
          </w:p>
        </w:tc>
        <w:tc>
          <w:tcPr>
            <w:tcW w:type="dxa" w:w="1040"/>
            <w:shd w:fill="F8FAFC"/>
            <w:tcMar>
              <w:top w:w="100" w:type="dxa"/>
              <w:bottom w:w="100" w:type="dxa"/>
              <w:left w:w="150" w:type="dxa"/>
              <w:right w:w="150" w:type="dxa"/>
            </w:tcMar>
          </w:tcPr>
          <w:p>
            <w:r>
              <w:rPr>
                <w:rFonts w:ascii="Calibri" w:hAnsi="Calibri"/>
                <w:color w:val="1E293B"/>
                <w:sz w:val="18"/>
              </w:rPr>
              <w:t>A roadmap timeline graphic showing Q1‑Q4 milestones: pilot kickoff, data integration, ROI case study, full‑contract rollout, with icons for partnership, conference, and sales, vibrant colors.</w:t>
            </w:r>
          </w:p>
        </w:tc>
        <w:tc>
          <w:tcPr>
            <w:tcW w:type="dxa" w:w="1040"/>
            <w:shd w:fill="F8FAFC"/>
            <w:tcMar>
              <w:top w:w="100" w:type="dxa"/>
              <w:bottom w:w="100" w:type="dxa"/>
              <w:left w:w="150" w:type="dxa"/>
              <w:right w:w="150" w:type="dxa"/>
            </w:tcMar>
          </w:tcPr>
          <w:p>
            <w:r>
              <w:rPr>
                <w:rFonts w:ascii="Calibri" w:hAnsi="Calibri"/>
                <w:color w:val="1E293B"/>
                <w:sz w:val="18"/>
              </w:rPr>
              <w:t>Horizontal timeline across the slide with milestone icons above and brief descriptions below.</w:t>
            </w:r>
          </w:p>
        </w:tc>
      </w:tr>
      <w:tr>
        <w:tc>
          <w:tcPr>
            <w:tcW w:type="dxa" w:w="1040"/>
            <w:shd w:fill="FFFFFF"/>
            <w:tcMar>
              <w:top w:w="100" w:type="dxa"/>
              <w:bottom w:w="100" w:type="dxa"/>
              <w:left w:w="150" w:type="dxa"/>
              <w:right w:w="150" w:type="dxa"/>
            </w:tcMar>
          </w:tcPr>
          <w:p>
            <w:r>
              <w:rPr>
                <w:rFonts w:ascii="Calibri" w:hAnsi="Calibri"/>
                <w:color w:val="1E293B"/>
                <w:sz w:val="18"/>
              </w:rPr>
              <w:t>7</w:t>
            </w:r>
          </w:p>
        </w:tc>
        <w:tc>
          <w:tcPr>
            <w:tcW w:type="dxa" w:w="1040"/>
            <w:shd w:fill="FFFFFF"/>
            <w:tcMar>
              <w:top w:w="100" w:type="dxa"/>
              <w:bottom w:w="100" w:type="dxa"/>
              <w:left w:w="150" w:type="dxa"/>
              <w:right w:w="150" w:type="dxa"/>
            </w:tcMar>
          </w:tcPr>
          <w:p>
            <w:r>
              <w:rPr>
                <w:rFonts w:ascii="Calibri" w:hAnsi="Calibri"/>
                <w:color w:val="1E293B"/>
                <w:sz w:val="18"/>
              </w:rPr>
              <w:t>Financial Projections</w:t>
            </w:r>
          </w:p>
        </w:tc>
        <w:tc>
          <w:tcPr>
            <w:tcW w:type="dxa" w:w="1040"/>
            <w:shd w:fill="FFFFFF"/>
            <w:tcMar>
              <w:top w:w="100" w:type="dxa"/>
              <w:bottom w:w="100" w:type="dxa"/>
              <w:left w:w="150" w:type="dxa"/>
              <w:right w:w="150" w:type="dxa"/>
            </w:tcMar>
          </w:tcPr>
          <w:p>
            <w:r>
              <w:rPr>
                <w:rFonts w:ascii="Calibri" w:hAnsi="Calibri"/>
                <w:color w:val="1E293B"/>
                <w:sz w:val="18"/>
              </w:rPr>
              <w:t>Financials</w:t>
            </w:r>
          </w:p>
        </w:tc>
        <w:tc>
          <w:tcPr>
            <w:tcW w:type="dxa" w:w="1040"/>
            <w:shd w:fill="FFFFFF"/>
            <w:tcMar>
              <w:top w:w="100" w:type="dxa"/>
              <w:bottom w:w="100" w:type="dxa"/>
              <w:left w:w="150" w:type="dxa"/>
              <w:right w:w="150" w:type="dxa"/>
            </w:tcMar>
          </w:tcPr>
          <w:p>
            <w:r>
              <w:rPr>
                <w:rFonts w:ascii="Calibri" w:hAnsi="Calibri"/>
                <w:color w:val="1E293B"/>
                <w:sz w:val="18"/>
              </w:rPr>
              <w:t>Projected $45 M ARR by Year 5 with 70% EBITDA margin.</w:t>
            </w:r>
          </w:p>
        </w:tc>
        <w:tc>
          <w:tcPr>
            <w:tcW w:type="dxa" w:w="1040"/>
            <w:shd w:fill="FFFFFF"/>
            <w:tcMar>
              <w:top w:w="100" w:type="dxa"/>
              <w:bottom w:w="100" w:type="dxa"/>
              <w:left w:w="150" w:type="dxa"/>
              <w:right w:w="150" w:type="dxa"/>
            </w:tcMar>
          </w:tcPr>
          <w:p>
            <w:r>
              <w:rPr>
                <w:rFonts w:ascii="Calibri" w:hAnsi="Calibri"/>
                <w:color w:val="1E293B"/>
                <w:sz w:val="18"/>
              </w:rPr>
              <w:t>Assuming 40 Elite contracts, 80 Pro contracts, and 120 Audit contracts by Year 5, ARR reaches $45 M. Gross margin stabilizes at 78% after scaling compliance and data‑engineering costs. Break‑even occurs in Year 2, with a 12‑month CAC payback under realistic assumptions.</w:t>
            </w:r>
          </w:p>
        </w:tc>
        <w:tc>
          <w:tcPr>
            <w:tcW w:type="dxa" w:w="1040"/>
            <w:shd w:fill="FFFFFF"/>
            <w:tcMar>
              <w:top w:w="100" w:type="dxa"/>
              <w:bottom w:w="100" w:type="dxa"/>
              <w:left w:w="150" w:type="dxa"/>
              <w:right w:w="150" w:type="dxa"/>
            </w:tcMar>
          </w:tcPr>
          <w:p>
            <w:r>
              <w:rPr>
                <w:rFonts w:ascii="Calibri" w:hAnsi="Calibri"/>
                <w:color w:val="1E293B"/>
                <w:sz w:val="18"/>
              </w:rPr>
              <w:t>• **Year 5 ARR:** $45 M</w:t>
              <w:br/>
              <w:t>• **EBITDA Margin:** 70%</w:t>
              <w:br/>
              <w:t>• **Break‑Even:** Year 2</w:t>
              <w:br/>
              <w:t>• **CAC Payback:** ≤12 months</w:t>
            </w:r>
          </w:p>
        </w:tc>
        <w:tc>
          <w:tcPr>
            <w:tcW w:type="dxa" w:w="1040"/>
            <w:shd w:fill="FFFFFF"/>
            <w:tcMar>
              <w:top w:w="100" w:type="dxa"/>
              <w:bottom w:w="100" w:type="dxa"/>
              <w:left w:w="150" w:type="dxa"/>
              <w:right w:w="150" w:type="dxa"/>
            </w:tcMar>
          </w:tcPr>
          <w:p>
            <w:r>
              <w:rPr>
                <w:rFonts w:ascii="Calibri" w:hAnsi="Calibri"/>
                <w:color w:val="1E293B"/>
                <w:sz w:val="18"/>
              </w:rPr>
              <w:t>• ARR growth CAGR 85%</w:t>
              <w:br/>
              <w:t>• Gross margin 78%</w:t>
              <w:br/>
              <w:t>• Burn multiple 1.2x</w:t>
            </w:r>
          </w:p>
        </w:tc>
        <w:tc>
          <w:tcPr>
            <w:tcW w:type="dxa" w:w="1040"/>
            <w:shd w:fill="FFFFFF"/>
            <w:tcMar>
              <w:top w:w="100" w:type="dxa"/>
              <w:bottom w:w="100" w:type="dxa"/>
              <w:left w:w="150" w:type="dxa"/>
              <w:right w:w="150" w:type="dxa"/>
            </w:tcMar>
          </w:tcPr>
          <w:p>
            <w:r>
              <w:rPr>
                <w:rFonts w:ascii="Calibri" w:hAnsi="Calibri"/>
                <w:color w:val="1E293B"/>
                <w:sz w:val="18"/>
              </w:rPr>
              <w:t>A stacked bar chart of ARR by year with color‑coded contract tiers, plus a line graph overlay showing EBITDA margin trajectory, professional finance visual style.</w:t>
            </w:r>
          </w:p>
        </w:tc>
        <w:tc>
          <w:tcPr>
            <w:tcW w:type="dxa" w:w="1040"/>
            <w:shd w:fill="FFFFFF"/>
            <w:tcMar>
              <w:top w:w="100" w:type="dxa"/>
              <w:bottom w:w="100" w:type="dxa"/>
              <w:left w:w="150" w:type="dxa"/>
              <w:right w:w="150" w:type="dxa"/>
            </w:tcMar>
          </w:tcPr>
          <w:p>
            <w:r>
              <w:rPr>
                <w:rFonts w:ascii="Calibri" w:hAnsi="Calibri"/>
                <w:color w:val="1E293B"/>
                <w:sz w:val="18"/>
              </w:rPr>
              <w:t>Left side bar chart, right side line graph, with key numbers highlighted in callout boxes.</w:t>
            </w:r>
          </w:p>
        </w:tc>
      </w:tr>
      <w:tr>
        <w:tc>
          <w:tcPr>
            <w:tcW w:type="dxa" w:w="1040"/>
            <w:shd w:fill="F8FAFC"/>
            <w:tcMar>
              <w:top w:w="100" w:type="dxa"/>
              <w:bottom w:w="100" w:type="dxa"/>
              <w:left w:w="150" w:type="dxa"/>
              <w:right w:w="150" w:type="dxa"/>
            </w:tcMar>
          </w:tcPr>
          <w:p>
            <w:r>
              <w:rPr>
                <w:rFonts w:ascii="Calibri" w:hAnsi="Calibri"/>
                <w:color w:val="1E293B"/>
                <w:sz w:val="18"/>
              </w:rPr>
              <w:t>8</w:t>
            </w:r>
          </w:p>
        </w:tc>
        <w:tc>
          <w:tcPr>
            <w:tcW w:type="dxa" w:w="1040"/>
            <w:shd w:fill="F8FAFC"/>
            <w:tcMar>
              <w:top w:w="100" w:type="dxa"/>
              <w:bottom w:w="100" w:type="dxa"/>
              <w:left w:w="150" w:type="dxa"/>
              <w:right w:w="150" w:type="dxa"/>
            </w:tcMar>
          </w:tcPr>
          <w:p>
            <w:r>
              <w:rPr>
                <w:rFonts w:ascii="Calibri" w:hAnsi="Calibri"/>
                <w:color w:val="1E293B"/>
                <w:sz w:val="18"/>
              </w:rPr>
              <w:t>Risk Mitigation &amp; Compliance</w:t>
            </w:r>
          </w:p>
        </w:tc>
        <w:tc>
          <w:tcPr>
            <w:tcW w:type="dxa" w:w="1040"/>
            <w:shd w:fill="F8FAFC"/>
            <w:tcMar>
              <w:top w:w="100" w:type="dxa"/>
              <w:bottom w:w="100" w:type="dxa"/>
              <w:left w:w="150" w:type="dxa"/>
              <w:right w:w="150" w:type="dxa"/>
            </w:tcMar>
          </w:tcPr>
          <w:p>
            <w:r>
              <w:rPr>
                <w:rFonts w:ascii="Calibri" w:hAnsi="Calibri"/>
                <w:color w:val="1E293B"/>
                <w:sz w:val="18"/>
              </w:rPr>
              <w:t>Risk</w:t>
            </w:r>
          </w:p>
        </w:tc>
        <w:tc>
          <w:tcPr>
            <w:tcW w:type="dxa" w:w="1040"/>
            <w:shd w:fill="F8FAFC"/>
            <w:tcMar>
              <w:top w:w="100" w:type="dxa"/>
              <w:bottom w:w="100" w:type="dxa"/>
              <w:left w:w="150" w:type="dxa"/>
              <w:right w:w="150" w:type="dxa"/>
            </w:tcMar>
          </w:tcPr>
          <w:p>
            <w:r>
              <w:rPr>
                <w:rFonts w:ascii="Calibri" w:hAnsi="Calibri"/>
                <w:color w:val="1E293B"/>
                <w:sz w:val="18"/>
              </w:rPr>
              <w:t>Robust security, regulatory, and AI governance framework reduces execution risk.</w:t>
            </w:r>
          </w:p>
        </w:tc>
        <w:tc>
          <w:tcPr>
            <w:tcW w:type="dxa" w:w="1040"/>
            <w:shd w:fill="F8FAFC"/>
            <w:tcMar>
              <w:top w:w="100" w:type="dxa"/>
              <w:bottom w:w="100" w:type="dxa"/>
              <w:left w:w="150" w:type="dxa"/>
              <w:right w:w="150" w:type="dxa"/>
            </w:tcMar>
          </w:tcPr>
          <w:p>
            <w:r>
              <w:rPr>
                <w:rFonts w:ascii="Calibri" w:hAnsi="Calibri"/>
                <w:color w:val="1E293B"/>
                <w:sz w:val="18"/>
              </w:rPr>
              <w:t>We have a 12‑point mitigation plan covering HIPAA Business Associate Agreements, end‑to‑end TLS/AES‑256 encryption, OAuth 2.0 API security, AI model robustness testing, and pursuit of FDA 510(k) clearance where applicable. Ongoing SOC 2 Type II and ISO 27001 audits ensure continuous compliance.</w:t>
            </w:r>
          </w:p>
        </w:tc>
        <w:tc>
          <w:tcPr>
            <w:tcW w:type="dxa" w:w="1040"/>
            <w:shd w:fill="F8FAFC"/>
            <w:tcMar>
              <w:top w:w="100" w:type="dxa"/>
              <w:bottom w:w="100" w:type="dxa"/>
              <w:left w:w="150" w:type="dxa"/>
              <w:right w:w="150" w:type="dxa"/>
            </w:tcMar>
          </w:tcPr>
          <w:p>
            <w:r>
              <w:rPr>
                <w:rFonts w:ascii="Calibri" w:hAnsi="Calibri"/>
                <w:color w:val="1E293B"/>
                <w:sz w:val="18"/>
              </w:rPr>
              <w:t>• **HIPAA/BAA:** All partners signed</w:t>
              <w:br/>
              <w:t>• **Encryption:** TLS 1.3 + AES‑256 at rest</w:t>
              <w:br/>
              <w:t>• **API Security:** OAuth 2.0 with least‑privilege scopes</w:t>
              <w:br/>
              <w:t>• **AI Governance:** Regular adversarial testing &amp; bias audits</w:t>
              <w:br/>
              <w:t>• **Regulatory Path:** FDA 510(k) roadmap</w:t>
            </w:r>
          </w:p>
        </w:tc>
        <w:tc>
          <w:tcPr>
            <w:tcW w:type="dxa" w:w="1040"/>
            <w:shd w:fill="F8FAFC"/>
            <w:tcMar>
              <w:top w:w="100" w:type="dxa"/>
              <w:bottom w:w="100" w:type="dxa"/>
              <w:left w:w="150" w:type="dxa"/>
              <w:right w:w="150" w:type="dxa"/>
            </w:tcMar>
          </w:tcPr>
          <w:p>
            <w:r>
              <w:rPr>
                <w:rFonts w:ascii="Calibri" w:hAnsi="Calibri"/>
                <w:color w:val="1E293B"/>
                <w:sz w:val="18"/>
              </w:rPr>
              <w:t>• SOC 2 Type II achieved Q3 2025</w:t>
              <w:br/>
              <w:t>• ISO 27001 certification target Q1 2026</w:t>
              <w:br/>
              <w:t>• Model accuracy &gt;85% on validation set</w:t>
            </w:r>
          </w:p>
        </w:tc>
        <w:tc>
          <w:tcPr>
            <w:tcW w:type="dxa" w:w="1040"/>
            <w:shd w:fill="F8FAFC"/>
            <w:tcMar>
              <w:top w:w="100" w:type="dxa"/>
              <w:bottom w:w="100" w:type="dxa"/>
              <w:left w:w="150" w:type="dxa"/>
              <w:right w:w="150" w:type="dxa"/>
            </w:tcMar>
          </w:tcPr>
          <w:p>
            <w:r>
              <w:rPr>
                <w:rFonts w:ascii="Calibri" w:hAnsi="Calibri"/>
                <w:color w:val="1E293B"/>
                <w:sz w:val="18"/>
              </w:rPr>
              <w:t>A shield infographic divided into sections labeled Data, API, AI, Regulatory, each with a checkmark icon, rendered in corporate blue‑gray palette.</w:t>
            </w:r>
          </w:p>
        </w:tc>
        <w:tc>
          <w:tcPr>
            <w:tcW w:type="dxa" w:w="1040"/>
            <w:shd w:fill="F8FAFC"/>
            <w:tcMar>
              <w:top w:w="100" w:type="dxa"/>
              <w:bottom w:w="100" w:type="dxa"/>
              <w:left w:w="150" w:type="dxa"/>
              <w:right w:w="150" w:type="dxa"/>
            </w:tcMar>
          </w:tcPr>
          <w:p>
            <w:r>
              <w:rPr>
                <w:rFonts w:ascii="Calibri" w:hAnsi="Calibri"/>
                <w:color w:val="1E293B"/>
                <w:sz w:val="18"/>
              </w:rPr>
              <w:t>Centered shield graphic with bullet points arranged radially around it.</w:t>
            </w:r>
          </w:p>
        </w:tc>
      </w:tr>
      <w:tr>
        <w:tc>
          <w:tcPr>
            <w:tcW w:type="dxa" w:w="1040"/>
            <w:shd w:fill="FFFFFF"/>
            <w:tcMar>
              <w:top w:w="100" w:type="dxa"/>
              <w:bottom w:w="100" w:type="dxa"/>
              <w:left w:w="150" w:type="dxa"/>
              <w:right w:w="150" w:type="dxa"/>
            </w:tcMar>
          </w:tcPr>
          <w:p>
            <w:r>
              <w:rPr>
                <w:rFonts w:ascii="Calibri" w:hAnsi="Calibri"/>
                <w:color w:val="1E293B"/>
                <w:sz w:val="18"/>
              </w:rPr>
              <w:t>9</w:t>
            </w:r>
          </w:p>
        </w:tc>
        <w:tc>
          <w:tcPr>
            <w:tcW w:type="dxa" w:w="1040"/>
            <w:shd w:fill="FFFFFF"/>
            <w:tcMar>
              <w:top w:w="100" w:type="dxa"/>
              <w:bottom w:w="100" w:type="dxa"/>
              <w:left w:w="150" w:type="dxa"/>
              <w:right w:w="150" w:type="dxa"/>
            </w:tcMar>
          </w:tcPr>
          <w:p>
            <w:r>
              <w:rPr>
                <w:rFonts w:ascii="Calibri" w:hAnsi="Calibri"/>
                <w:color w:val="1E293B"/>
                <w:sz w:val="18"/>
              </w:rPr>
              <w:t>Funding Ask &amp; Use of Proceeds</w:t>
            </w:r>
          </w:p>
        </w:tc>
        <w:tc>
          <w:tcPr>
            <w:tcW w:type="dxa" w:w="1040"/>
            <w:shd w:fill="FFFFFF"/>
            <w:tcMar>
              <w:top w:w="100" w:type="dxa"/>
              <w:bottom w:w="100" w:type="dxa"/>
              <w:left w:w="150" w:type="dxa"/>
              <w:right w:w="150" w:type="dxa"/>
            </w:tcMar>
          </w:tcPr>
          <w:p>
            <w:r>
              <w:rPr>
                <w:rFonts w:ascii="Calibri" w:hAnsi="Calibri"/>
                <w:color w:val="1E293B"/>
                <w:sz w:val="18"/>
              </w:rPr>
              <w:t>Capital</w:t>
            </w:r>
          </w:p>
        </w:tc>
        <w:tc>
          <w:tcPr>
            <w:tcW w:type="dxa" w:w="1040"/>
            <w:shd w:fill="FFFFFF"/>
            <w:tcMar>
              <w:top w:w="100" w:type="dxa"/>
              <w:bottom w:w="100" w:type="dxa"/>
              <w:left w:w="150" w:type="dxa"/>
              <w:right w:w="150" w:type="dxa"/>
            </w:tcMar>
          </w:tcPr>
          <w:p>
            <w:r>
              <w:rPr>
                <w:rFonts w:ascii="Calibri" w:hAnsi="Calibri"/>
                <w:color w:val="1E293B"/>
                <w:sz w:val="18"/>
              </w:rPr>
              <w:t>Seeking $8 M Series A to dominate the elite sports AI injury‑prevention market.</w:t>
            </w:r>
          </w:p>
        </w:tc>
        <w:tc>
          <w:tcPr>
            <w:tcW w:type="dxa" w:w="1040"/>
            <w:shd w:fill="FFFFFF"/>
            <w:tcMar>
              <w:top w:w="100" w:type="dxa"/>
              <w:bottom w:w="100" w:type="dxa"/>
              <w:left w:w="150" w:type="dxa"/>
              <w:right w:w="150" w:type="dxa"/>
            </w:tcMar>
          </w:tcPr>
          <w:p>
            <w:r>
              <w:rPr>
                <w:rFonts w:ascii="Calibri" w:hAnsi="Calibri"/>
                <w:color w:val="1E293B"/>
                <w:sz w:val="18"/>
              </w:rPr>
              <w:t>The capital will accelerate product development, expand the data lake, secure compliance certifications, and scale the sales engine. A disciplined spend plan ensures runway to profitability and positions Zone7 for a strategic exit or IPO within 7‑8 years.</w:t>
            </w:r>
          </w:p>
        </w:tc>
        <w:tc>
          <w:tcPr>
            <w:tcW w:type="dxa" w:w="1040"/>
            <w:shd w:fill="FFFFFF"/>
            <w:tcMar>
              <w:top w:w="100" w:type="dxa"/>
              <w:bottom w:w="100" w:type="dxa"/>
              <w:left w:w="150" w:type="dxa"/>
              <w:right w:w="150" w:type="dxa"/>
            </w:tcMar>
          </w:tcPr>
          <w:p>
            <w:r>
              <w:rPr>
                <w:rFonts w:ascii="Calibri" w:hAnsi="Calibri"/>
                <w:color w:val="1E293B"/>
                <w:sz w:val="18"/>
              </w:rPr>
              <w:t>• **Product &amp; AI R&amp;D:** $2.5 M</w:t>
              <w:br/>
              <w:t>• **Compliance &amp; Security:** $1.5 M</w:t>
              <w:br/>
              <w:t>• **Sales &amp; Marketing:** $2.0 M</w:t>
              <w:br/>
              <w:t>• **Operations &amp; Talent:** $1.0 M</w:t>
              <w:br/>
              <w:t>• **Contingency &amp; Working Capital:** $1.0 M</w:t>
            </w:r>
          </w:p>
        </w:tc>
        <w:tc>
          <w:tcPr>
            <w:tcW w:type="dxa" w:w="1040"/>
            <w:shd w:fill="FFFFFF"/>
            <w:tcMar>
              <w:top w:w="100" w:type="dxa"/>
              <w:bottom w:w="100" w:type="dxa"/>
              <w:left w:w="150" w:type="dxa"/>
              <w:right w:w="150" w:type="dxa"/>
            </w:tcMar>
          </w:tcPr>
          <w:p>
            <w:r>
              <w:rPr>
                <w:rFonts w:ascii="Calibri" w:hAnsi="Calibri"/>
                <w:color w:val="1E293B"/>
                <w:sz w:val="18"/>
              </w:rPr>
              <w:t>• Runway 24 months post‑fundraise</w:t>
              <w:br/>
              <w:t>• Projected ARR $45 M by Year 5</w:t>
              <w:br/>
              <w:t>• Target valuation $120 M post‑money</w:t>
            </w:r>
          </w:p>
        </w:tc>
        <w:tc>
          <w:tcPr>
            <w:tcW w:type="dxa" w:w="1040"/>
            <w:shd w:fill="FFFFFF"/>
            <w:tcMar>
              <w:top w:w="100" w:type="dxa"/>
              <w:bottom w:w="100" w:type="dxa"/>
              <w:left w:w="150" w:type="dxa"/>
              <w:right w:w="150" w:type="dxa"/>
            </w:tcMar>
          </w:tcPr>
          <w:p>
            <w:r>
              <w:rPr>
                <w:rFonts w:ascii="Calibri" w:hAnsi="Calibri"/>
                <w:color w:val="1E293B"/>
                <w:sz w:val="18"/>
              </w:rPr>
              <w:t>A pie chart showing allocation percentages of the $8 M raise, with each slice labeled and a subtle background of a stadium silhouette, high‑resolution, modern infographic style.</w:t>
            </w:r>
          </w:p>
        </w:tc>
        <w:tc>
          <w:tcPr>
            <w:tcW w:type="dxa" w:w="1040"/>
            <w:shd w:fill="FFFFFF"/>
            <w:tcMar>
              <w:top w:w="100" w:type="dxa"/>
              <w:bottom w:w="100" w:type="dxa"/>
              <w:left w:w="150" w:type="dxa"/>
              <w:right w:w="150" w:type="dxa"/>
            </w:tcMar>
          </w:tcPr>
          <w:p>
            <w:r>
              <w:rPr>
                <w:rFonts w:ascii="Calibri" w:hAnsi="Calibri"/>
                <w:color w:val="1E293B"/>
                <w:sz w:val="18"/>
              </w:rPr>
              <w:t>Left side pie chart, right side bullet list of allocations with icons, concise summary at bottom.</w:t>
            </w:r>
          </w:p>
        </w:tc>
      </w:tr>
    </w:tbl>
    <w:p>
      <w:pPr>
        <w:spacing w:after="160"/>
      </w:pPr>
    </w:p>
    <w:p>
      <w:pPr>
        <w:pStyle w:val="Heading2"/>
        <w:spacing w:before="200" w:after="80"/>
      </w:pPr>
      <w:r>
        <w:rPr>
          <w:rFonts w:ascii="Calibri" w:hAnsi="Calibri"/>
          <w:color w:val="4F46E5"/>
        </w:rPr>
        <w:t>Key Investment Highlights</w:t>
      </w:r>
    </w:p>
    <w:p>
      <w:pPr>
        <w:pStyle w:val="ListBullet"/>
        <w:spacing w:after="60" w:line="276" w:lineRule="auto"/>
      </w:pPr>
      <w:r>
        <w:rPr>
          <w:rFonts w:ascii="Calibri" w:hAnsi="Calibri"/>
          <w:color w:val="1E293B"/>
          <w:sz w:val="20"/>
        </w:rPr>
        <w:t>Proprietary 200M‑hour multimodal data lake creates a sustainable AI moat.</w:t>
      </w:r>
    </w:p>
    <w:p>
      <w:pPr>
        <w:pStyle w:val="ListBullet"/>
        <w:spacing w:after="60" w:line="276" w:lineRule="auto"/>
      </w:pPr>
      <w:r>
        <w:rPr>
          <w:rFonts w:ascii="Calibri" w:hAnsi="Calibri"/>
          <w:color w:val="1E293B"/>
          <w:sz w:val="20"/>
        </w:rPr>
        <w:t>7‑day injury risk forecasts deliver measurable ROI – pilot shows 20% reduction in injury days.</w:t>
      </w:r>
    </w:p>
    <w:p>
      <w:pPr>
        <w:pStyle w:val="ListBullet"/>
        <w:spacing w:after="60" w:line="276" w:lineRule="auto"/>
      </w:pPr>
      <w:r>
        <w:rPr>
          <w:rFonts w:ascii="Calibri" w:hAnsi="Calibri"/>
          <w:color w:val="1E293B"/>
          <w:sz w:val="20"/>
        </w:rPr>
        <w:t>Validated near‑term TAM of $140 M with a clear path to the $3 B long‑term AI injury‑prevention market.</w:t>
      </w:r>
    </w:p>
    <w:p>
      <w:pPr>
        <w:pStyle w:val="ListBullet"/>
        <w:spacing w:after="60" w:line="276" w:lineRule="auto"/>
      </w:pPr>
      <w:r>
        <w:rPr>
          <w:rFonts w:ascii="Calibri" w:hAnsi="Calibri"/>
          <w:color w:val="1E293B"/>
          <w:sz w:val="20"/>
        </w:rPr>
        <w:t>High‑margin SaaS + DSaaS model achieves 78% gross margin and projected 70% EBITDA by Year 5.</w:t>
      </w:r>
    </w:p>
    <w:p>
      <w:pPr>
        <w:pStyle w:val="ListBullet"/>
        <w:spacing w:after="60" w:line="276" w:lineRule="auto"/>
      </w:pPr>
      <w:r>
        <w:rPr>
          <w:rFonts w:ascii="Calibri" w:hAnsi="Calibri"/>
          <w:color w:val="1E293B"/>
          <w:sz w:val="20"/>
        </w:rPr>
        <w:t>Robust compliance framework (HIPAA, GDPR, CCPA) and ongoing SOC 2/ISO 27001 certifications mitigate regulatory risk.</w:t>
      </w:r>
    </w:p>
    <w:p>
      <w:pPr>
        <w:pStyle w:val="Heading2"/>
        <w:spacing w:before="200" w:after="80"/>
      </w:pPr>
      <w:r>
        <w:rPr>
          <w:rFonts w:ascii="Calibri" w:hAnsi="Calibri"/>
          <w:color w:val="4F46E5"/>
        </w:rPr>
        <w:t>Use Of Funds Breakdown</w:t>
      </w:r>
    </w:p>
    <w:tbl>
      <w:tblPr>
        <w:tblW w:type="auto" w:w="0"/>
        <w:jc w:val="center"/>
        <w:tblLayout w:type="fixed"/>
        <w:tblLook w:firstColumn="1" w:firstRow="1" w:lastColumn="0" w:lastRow="0" w:noHBand="0" w:noVBand="1" w:val="04A0"/>
      </w:tblPr>
      <w:tblGrid>
        <w:gridCol w:w="4680"/>
        <w:gridCol w:w="4680"/>
      </w:tblGrid>
      <w:tr>
        <w:tc>
          <w:tcPr>
            <w:tcW w:type="dxa" w:w="3600"/>
            <w:shd w:fill="F8FAFC"/>
            <w:tcMar>
              <w:top w:w="80" w:type="dxa"/>
              <w:bottom w:w="80" w:type="dxa"/>
              <w:left w:w="120" w:type="dxa"/>
              <w:right w:w="120" w:type="dxa"/>
            </w:tcMar>
          </w:tcPr>
          <w:p>
            <w:r>
              <w:rPr>
                <w:rFonts w:ascii="Calibri" w:hAnsi="Calibri"/>
                <w:b/>
                <w:color w:val="0F172A"/>
                <w:sz w:val="19"/>
              </w:rPr>
              <w:t>Product Development And Ai Research</w:t>
            </w:r>
          </w:p>
        </w:tc>
        <w:tc>
          <w:tcPr>
            <w:tcW w:type="dxa" w:w="5760"/>
            <w:shd w:fill="F8FAFC"/>
            <w:tcMar>
              <w:top w:w="80" w:type="dxa"/>
              <w:bottom w:w="80" w:type="dxa"/>
              <w:left w:w="120" w:type="dxa"/>
              <w:right w:w="120" w:type="dxa"/>
            </w:tcMar>
          </w:tcPr>
          <w:p>
            <w:r>
              <w:rPr>
                <w:rFonts w:ascii="Calibri" w:hAnsi="Calibri"/>
                <w:color w:val="1E293B"/>
                <w:sz w:val="19"/>
              </w:rPr>
              <w:t>2,500,000</w:t>
            </w:r>
          </w:p>
        </w:tc>
      </w:tr>
      <w:tr>
        <w:tc>
          <w:tcPr>
            <w:tcW w:type="dxa" w:w="3600"/>
            <w:shd w:fill="FFFFFF"/>
            <w:tcMar>
              <w:top w:w="80" w:type="dxa"/>
              <w:bottom w:w="80" w:type="dxa"/>
              <w:left w:w="120" w:type="dxa"/>
              <w:right w:w="120" w:type="dxa"/>
            </w:tcMar>
          </w:tcPr>
          <w:p>
            <w:r>
              <w:rPr>
                <w:rFonts w:ascii="Calibri" w:hAnsi="Calibri"/>
                <w:b/>
                <w:color w:val="0F172A"/>
                <w:sz w:val="19"/>
              </w:rPr>
              <w:t>Compliance Security And Regulatory Certifications</w:t>
            </w:r>
          </w:p>
        </w:tc>
        <w:tc>
          <w:tcPr>
            <w:tcW w:type="dxa" w:w="5760"/>
            <w:shd w:fill="FFFFFF"/>
            <w:tcMar>
              <w:top w:w="80" w:type="dxa"/>
              <w:bottom w:w="80" w:type="dxa"/>
              <w:left w:w="120" w:type="dxa"/>
              <w:right w:w="120" w:type="dxa"/>
            </w:tcMar>
          </w:tcPr>
          <w:p>
            <w:r>
              <w:rPr>
                <w:rFonts w:ascii="Calibri" w:hAnsi="Calibri"/>
                <w:color w:val="1E293B"/>
                <w:sz w:val="19"/>
              </w:rPr>
              <w:t>1,500,000</w:t>
            </w:r>
          </w:p>
        </w:tc>
      </w:tr>
      <w:tr>
        <w:tc>
          <w:tcPr>
            <w:tcW w:type="dxa" w:w="3600"/>
            <w:shd w:fill="F8FAFC"/>
            <w:tcMar>
              <w:top w:w="80" w:type="dxa"/>
              <w:bottom w:w="80" w:type="dxa"/>
              <w:left w:w="120" w:type="dxa"/>
              <w:right w:w="120" w:type="dxa"/>
            </w:tcMar>
          </w:tcPr>
          <w:p>
            <w:r>
              <w:rPr>
                <w:rFonts w:ascii="Calibri" w:hAnsi="Calibri"/>
                <w:b/>
                <w:color w:val="0F172A"/>
                <w:sz w:val="19"/>
              </w:rPr>
              <w:t>Sales And Marketing Expansion</w:t>
            </w:r>
          </w:p>
        </w:tc>
        <w:tc>
          <w:tcPr>
            <w:tcW w:type="dxa" w:w="5760"/>
            <w:shd w:fill="F8FAFC"/>
            <w:tcMar>
              <w:top w:w="80" w:type="dxa"/>
              <w:bottom w:w="80" w:type="dxa"/>
              <w:left w:w="120" w:type="dxa"/>
              <w:right w:w="120" w:type="dxa"/>
            </w:tcMar>
          </w:tcPr>
          <w:p>
            <w:r>
              <w:rPr>
                <w:rFonts w:ascii="Calibri" w:hAnsi="Calibri"/>
                <w:color w:val="1E293B"/>
                <w:sz w:val="19"/>
              </w:rPr>
              <w:t>2,000,000</w:t>
            </w:r>
          </w:p>
        </w:tc>
      </w:tr>
      <w:tr>
        <w:tc>
          <w:tcPr>
            <w:tcW w:type="dxa" w:w="3600"/>
            <w:shd w:fill="FFFFFF"/>
            <w:tcMar>
              <w:top w:w="80" w:type="dxa"/>
              <w:bottom w:w="80" w:type="dxa"/>
              <w:left w:w="120" w:type="dxa"/>
              <w:right w:w="120" w:type="dxa"/>
            </w:tcMar>
          </w:tcPr>
          <w:p>
            <w:r>
              <w:rPr>
                <w:rFonts w:ascii="Calibri" w:hAnsi="Calibri"/>
                <w:b/>
                <w:color w:val="0F172A"/>
                <w:sz w:val="19"/>
              </w:rPr>
              <w:t>Operations Talent And Infrastructure</w:t>
            </w:r>
          </w:p>
        </w:tc>
        <w:tc>
          <w:tcPr>
            <w:tcW w:type="dxa" w:w="5760"/>
            <w:shd w:fill="FFFFFF"/>
            <w:tcMar>
              <w:top w:w="80" w:type="dxa"/>
              <w:bottom w:w="80" w:type="dxa"/>
              <w:left w:w="120" w:type="dxa"/>
              <w:right w:w="120" w:type="dxa"/>
            </w:tcMar>
          </w:tcPr>
          <w:p>
            <w:r>
              <w:rPr>
                <w:rFonts w:ascii="Calibri" w:hAnsi="Calibri"/>
                <w:color w:val="1E293B"/>
                <w:sz w:val="19"/>
              </w:rPr>
              <w:t>1,000,000</w:t>
            </w:r>
          </w:p>
        </w:tc>
      </w:tr>
      <w:tr>
        <w:tc>
          <w:tcPr>
            <w:tcW w:type="dxa" w:w="3600"/>
            <w:shd w:fill="F8FAFC"/>
            <w:tcMar>
              <w:top w:w="80" w:type="dxa"/>
              <w:bottom w:w="80" w:type="dxa"/>
              <w:left w:w="120" w:type="dxa"/>
              <w:right w:w="120" w:type="dxa"/>
            </w:tcMar>
          </w:tcPr>
          <w:p>
            <w:r>
              <w:rPr>
                <w:rFonts w:ascii="Calibri" w:hAnsi="Calibri"/>
                <w:b/>
                <w:color w:val="0F172A"/>
                <w:sz w:val="19"/>
              </w:rPr>
              <w:t>Contingency And Working Capital</w:t>
            </w:r>
          </w:p>
        </w:tc>
        <w:tc>
          <w:tcPr>
            <w:tcW w:type="dxa" w:w="5760"/>
            <w:shd w:fill="F8FAFC"/>
            <w:tcMar>
              <w:top w:w="80" w:type="dxa"/>
              <w:bottom w:w="80" w:type="dxa"/>
              <w:left w:w="120" w:type="dxa"/>
              <w:right w:w="120" w:type="dxa"/>
            </w:tcMar>
          </w:tcPr>
          <w:p>
            <w:r>
              <w:rPr>
                <w:rFonts w:ascii="Calibri" w:hAnsi="Calibri"/>
                <w:color w:val="1E293B"/>
                <w:sz w:val="19"/>
              </w:rPr>
              <w:t>1,000,000</w:t>
            </w:r>
          </w:p>
        </w:tc>
      </w:tr>
    </w:tbl>
    <w:p>
      <w:pPr>
        <w:spacing w:after="160"/>
      </w:pPr>
    </w:p>
    <w:p>
      <w:pPr>
        <w:spacing w:after="200"/>
      </w:pPr>
    </w:p>
    <w:p>
      <w:pPr>
        <w:pStyle w:val="Heading1"/>
        <w:spacing w:before="360" w:after="120"/>
      </w:pPr>
      <w:r>
        <w:rPr>
          <w:rFonts w:ascii="Calibri" w:hAnsi="Calibri"/>
          <w:b/>
          <w:color w:val="0F172A"/>
          <w:sz w:val="28"/>
        </w:rPr>
        <w:t>SECTION 11.0 — PORTER'S FIVE FORCES</w:t>
      </w:r>
    </w:p>
    <w:p>
      <w:pPr>
        <w:pStyle w:val="Heading2"/>
        <w:spacing w:before="200" w:after="80"/>
      </w:pPr>
      <w:r>
        <w:rPr>
          <w:rFonts w:ascii="Calibri" w:hAnsi="Calibri"/>
          <w:color w:val="4F46E5"/>
        </w:rPr>
        <w:t>Threat Of New Entrants</w:t>
      </w:r>
    </w:p>
    <w:p>
      <w:pPr>
        <w:spacing w:after="120" w:line="276" w:lineRule="auto"/>
      </w:pPr>
      <w:r>
        <w:rPr>
          <w:rFonts w:ascii="Calibri" w:hAnsi="Calibri"/>
          <w:color w:val="1E293B"/>
          <w:sz w:val="20"/>
        </w:rPr>
        <w:t>Low to moderate – high capital requirements for AI model development, regulatory compliance (HIPAA, athlete data privacy), and deep domain expertise create barriers. However, rapid advances in wearable tech and generic AI platforms could enable well‑funded tech firms or sports analytics startups to enter if they secure data partnerships.</w:t>
      </w:r>
    </w:p>
    <w:p>
      <w:pPr>
        <w:pStyle w:val="Heading2"/>
        <w:spacing w:before="200" w:after="80"/>
      </w:pPr>
      <w:r>
        <w:rPr>
          <w:rFonts w:ascii="Calibri" w:hAnsi="Calibri"/>
          <w:color w:val="4F46E5"/>
        </w:rPr>
        <w:t>Bargaining Power Of Buyers</w:t>
      </w:r>
    </w:p>
    <w:p>
      <w:pPr>
        <w:spacing w:after="120" w:line="276" w:lineRule="auto"/>
      </w:pPr>
      <w:r>
        <w:rPr>
          <w:rFonts w:ascii="Calibri" w:hAnsi="Calibri"/>
          <w:color w:val="1E293B"/>
          <w:sz w:val="20"/>
        </w:rPr>
        <w:t>High – elite franchises and NCAA programs control sizable budgets and can negotiate multi‑year contracts. Their willingness to switch hinges on proven injury‑reduction ROI, so they demand robust validation, customizable dashboards, and favorable pricing tiers. Consolidation among leagues further amplifies buyer leverage.</w:t>
      </w:r>
    </w:p>
    <w:p>
      <w:pPr>
        <w:pStyle w:val="Heading2"/>
        <w:spacing w:before="200" w:after="80"/>
      </w:pPr>
      <w:r>
        <w:rPr>
          <w:rFonts w:ascii="Calibri" w:hAnsi="Calibri"/>
          <w:color w:val="4F46E5"/>
        </w:rPr>
        <w:t>Bargaining Power Of Suppliers</w:t>
      </w:r>
    </w:p>
    <w:p>
      <w:pPr>
        <w:spacing w:after="120" w:line="276" w:lineRule="auto"/>
      </w:pPr>
      <w:r>
        <w:rPr>
          <w:rFonts w:ascii="Calibri" w:hAnsi="Calibri"/>
          <w:color w:val="1E293B"/>
          <w:sz w:val="20"/>
        </w:rPr>
        <w:t>Moderate – Zone7 relies on third‑party wearable hardware manufacturers, EHR vendors, and cloud infrastructure providers. While hardware standards are relatively commoditized, exclusive data feeds or premium API access can increase supplier power. Negotiated enterprise agreements and multi‑cloud strategies can mitigate risk.</w:t>
      </w:r>
    </w:p>
    <w:p>
      <w:pPr>
        <w:pStyle w:val="Heading2"/>
        <w:spacing w:before="200" w:after="80"/>
      </w:pPr>
      <w:r>
        <w:rPr>
          <w:rFonts w:ascii="Calibri" w:hAnsi="Calibri"/>
          <w:color w:val="4F46E5"/>
        </w:rPr>
        <w:t>Threat Of Substitutes</w:t>
      </w:r>
    </w:p>
    <w:p>
      <w:pPr>
        <w:spacing w:after="120" w:line="276" w:lineRule="auto"/>
      </w:pPr>
      <w:r>
        <w:rPr>
          <w:rFonts w:ascii="Calibri" w:hAnsi="Calibri"/>
          <w:color w:val="1E293B"/>
          <w:sz w:val="20"/>
        </w:rPr>
        <w:t>Moderate – traditional sports science approaches (manual load monitoring, physiotherapy assessments) and competing analytics platforms (Kitman Labs, Catapult, Sparta Science) offer alternative injury‑prevention solutions. However, the depth of predictive AI and automated periodization provided by Zone7 is a differentiator that reduces direct substitution risk.</w:t>
      </w:r>
    </w:p>
    <w:p>
      <w:pPr>
        <w:pStyle w:val="Heading2"/>
        <w:spacing w:before="200" w:after="80"/>
      </w:pPr>
      <w:r>
        <w:rPr>
          <w:rFonts w:ascii="Calibri" w:hAnsi="Calibri"/>
          <w:color w:val="4F46E5"/>
        </w:rPr>
        <w:t>Competitive Rivalry</w:t>
      </w:r>
    </w:p>
    <w:p>
      <w:pPr>
        <w:spacing w:after="120" w:line="276" w:lineRule="auto"/>
      </w:pPr>
      <w:r>
        <w:rPr>
          <w:rFonts w:ascii="Calibri" w:hAnsi="Calibri"/>
          <w:color w:val="1E293B"/>
          <w:sz w:val="20"/>
        </w:rPr>
        <w:t>Intense – the SportsTech market features several well‑funded incumbents with established client bases and proprietary data sets. Competition centers on model accuracy, integration ease, and service depth (DSaaS). Continuous model improvement, strategic partnerships with major leagues, and tiered pricing are essential to maintain market share.</w:t>
      </w:r>
    </w:p>
    <w:p>
      <w:pPr>
        <w:spacing w:after="200"/>
      </w:pPr>
    </w:p>
    <w:p>
      <w:pPr>
        <w:pStyle w:val="Heading1"/>
        <w:spacing w:before="360" w:after="120"/>
      </w:pPr>
      <w:r>
        <w:rPr>
          <w:rFonts w:ascii="Calibri" w:hAnsi="Calibri"/>
          <w:b/>
          <w:color w:val="0F172A"/>
          <w:sz w:val="28"/>
        </w:rPr>
        <w:t>SECTION 12.0 — RISK ASSESSMENT &amp; MITIGATION MATRIX</w:t>
      </w:r>
    </w:p>
    <w:p>
      <w:pPr>
        <w:pStyle w:val="Heading2"/>
        <w:spacing w:before="200" w:after="80"/>
      </w:pPr>
      <w:r>
        <w:rPr>
          <w:rFonts w:ascii="Calibri" w:hAnsi="Calibri"/>
          <w:color w:val="4F46E5"/>
        </w:rPr>
        <w:t>Regulatory Compliance Risks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F172A"/>
            <w:tcMar>
              <w:top w:w="120" w:type="dxa"/>
              <w:bottom w:w="120" w:type="dxa"/>
              <w:left w:w="150" w:type="dxa"/>
              <w:right w:w="150" w:type="dxa"/>
            </w:tcMar>
          </w:tcPr>
          <w:p>
            <w:pPr>
              <w:jc w:val="left"/>
            </w:pPr>
            <w:r>
              <w:rPr>
                <w:rFonts w:ascii="Calibri" w:hAnsi="Calibri"/>
                <w:b/>
                <w:color w:val="FFFFFF"/>
                <w:sz w:val="19"/>
              </w:rPr>
              <w:t>Risk Id</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Description</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Impact</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Likelihood</w:t>
            </w:r>
          </w:p>
        </w:tc>
        <w:tc>
          <w:tcPr>
            <w:tcW w:type="dxa" w:w="1560"/>
            <w:shd w:fill="0F172A"/>
            <w:tcMar>
              <w:top w:w="120" w:type="dxa"/>
              <w:bottom w:w="120" w:type="dxa"/>
              <w:left w:w="150" w:type="dxa"/>
              <w:right w:w="150" w:type="dxa"/>
            </w:tcMar>
          </w:tcPr>
          <w:p>
            <w:pPr>
              <w:jc w:val="left"/>
            </w:pPr>
            <w:r>
              <w:rPr>
                <w:rFonts w:ascii="Calibri" w:hAnsi="Calibri"/>
                <w:b/>
                <w:color w:val="FFFFFF"/>
                <w:sz w:val="19"/>
              </w:rPr>
              <w:t>Mitigation Actions</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Rating</w:t>
            </w:r>
          </w:p>
        </w:tc>
      </w:tr>
      <w:tr>
        <w:tc>
          <w:tcPr>
            <w:tcW w:type="dxa" w:w="1560"/>
            <w:shd w:fill="FFFFFF"/>
            <w:tcMar>
              <w:top w:w="100" w:type="dxa"/>
              <w:bottom w:w="100" w:type="dxa"/>
              <w:left w:w="150" w:type="dxa"/>
              <w:right w:w="150" w:type="dxa"/>
            </w:tcMar>
          </w:tcPr>
          <w:p>
            <w:r>
              <w:rPr>
                <w:rFonts w:ascii="Calibri" w:hAnsi="Calibri"/>
                <w:color w:val="1E293B"/>
                <w:sz w:val="18"/>
              </w:rPr>
              <w:t>R1</w:t>
            </w:r>
          </w:p>
        </w:tc>
        <w:tc>
          <w:tcPr>
            <w:tcW w:type="dxa" w:w="1560"/>
            <w:shd w:fill="FFFFFF"/>
            <w:tcMar>
              <w:top w:w="100" w:type="dxa"/>
              <w:bottom w:w="100" w:type="dxa"/>
              <w:left w:w="150" w:type="dxa"/>
              <w:right w:w="150" w:type="dxa"/>
            </w:tcMar>
          </w:tcPr>
          <w:p>
            <w:r>
              <w:rPr>
                <w:rFonts w:ascii="Calibri" w:hAnsi="Calibri"/>
                <w:color w:val="1E293B"/>
                <w:sz w:val="18"/>
              </w:rPr>
              <w:t>Non-compliance with HIPAA, HITECH Act, CCPA, GDPR, COPPA, and FTC regulations</w:t>
            </w:r>
          </w:p>
        </w:tc>
        <w:tc>
          <w:tcPr>
            <w:tcW w:type="dxa" w:w="1560"/>
            <w:shd w:fill="FFFFFF"/>
            <w:tcMar>
              <w:top w:w="100" w:type="dxa"/>
              <w:bottom w:w="100" w:type="dxa"/>
              <w:left w:w="150" w:type="dxa"/>
              <w:right w:w="150" w:type="dxa"/>
            </w:tcMar>
          </w:tcPr>
          <w:p>
            <w:r>
              <w:rPr>
                <w:rFonts w:ascii="Calibri" w:hAnsi="Calibri"/>
                <w:color w:val="1E293B"/>
                <w:sz w:val="18"/>
              </w:rPr>
              <w:t>High</w:t>
            </w:r>
          </w:p>
        </w:tc>
        <w:tc>
          <w:tcPr>
            <w:tcW w:type="dxa" w:w="1560"/>
            <w:shd w:fill="FFFFFF"/>
            <w:tcMar>
              <w:top w:w="100" w:type="dxa"/>
              <w:bottom w:w="100" w:type="dxa"/>
              <w:left w:w="150" w:type="dxa"/>
              <w:right w:w="150" w:type="dxa"/>
            </w:tcMar>
          </w:tcPr>
          <w:p>
            <w:r>
              <w:rPr>
                <w:rFonts w:ascii="Calibri" w:hAnsi="Calibri"/>
                <w:color w:val="1E293B"/>
                <w:sz w:val="18"/>
              </w:rPr>
              <w:t>Medium</w:t>
            </w:r>
          </w:p>
        </w:tc>
        <w:tc>
          <w:tcPr>
            <w:tcW w:type="dxa" w:w="1560"/>
            <w:shd w:fill="FFFFFF"/>
            <w:tcMar>
              <w:top w:w="100" w:type="dxa"/>
              <w:bottom w:w="100" w:type="dxa"/>
              <w:left w:w="150" w:type="dxa"/>
              <w:right w:w="150" w:type="dxa"/>
            </w:tcMar>
          </w:tcPr>
          <w:p>
            <w:r>
              <w:rPr>
                <w:rFonts w:ascii="Calibri" w:hAnsi="Calibri"/>
                <w:color w:val="1E293B"/>
                <w:sz w:val="18"/>
              </w:rPr>
              <w:t>• Execute BAAs with all EHR and wearable data providers</w:t>
              <w:br/>
              <w:t>• Implement end-to-end TLS encryption and AES-256 encryption at rest with rotation policies</w:t>
              <w:br/>
              <w:t>• Adopt OAuth 2.0/OpenID Connect with least-privilege scopes for API access</w:t>
              <w:br/>
              <w:t>• Conduct regular penetration testing and AI-specific threat modeling (model inversion, adversarial robustness)</w:t>
              <w:br/>
              <w:t>• Deploy robust audit logging, SIEM monitoring, and anomaly detection for PHI access</w:t>
              <w:br/>
              <w:t>• Establish consent-management platform covering HIPAA, GDPR, CCPA, and COPPA requirements</w:t>
              <w:br/>
              <w:t>• Introduce age-verification workflow and parental consent for minors</w:t>
              <w:br/>
              <w:t>• Perform bias and fairness audits on predictive models and document outcomes</w:t>
              <w:br/>
              <w:t>• Seek FDA clearance or 510(k) clearance if classified as SaMD; maintain design history file</w:t>
            </w:r>
          </w:p>
        </w:tc>
        <w:tc>
          <w:tcPr>
            <w:tcW w:type="dxa" w:w="1560"/>
            <w:shd w:fill="FFFFFF"/>
            <w:tcMar>
              <w:top w:w="100" w:type="dxa"/>
              <w:bottom w:w="100" w:type="dxa"/>
              <w:left w:w="150" w:type="dxa"/>
              <w:right w:w="150" w:type="dxa"/>
            </w:tcMar>
          </w:tcPr>
          <w:p>
            <w:r>
              <w:rPr>
                <w:rFonts w:ascii="Calibri" w:hAnsi="Calibri"/>
                <w:color w:val="1E293B"/>
                <w:sz w:val="18"/>
              </w:rPr>
              <w:t>HIGH</w:t>
            </w:r>
          </w:p>
        </w:tc>
      </w:tr>
    </w:tbl>
    <w:p>
      <w:pPr>
        <w:spacing w:after="160"/>
      </w:pPr>
    </w:p>
    <w:p>
      <w:pPr>
        <w:pStyle w:val="Heading2"/>
        <w:spacing w:before="200" w:after="80"/>
      </w:pPr>
      <w:r>
        <w:rPr>
          <w:rFonts w:ascii="Calibri" w:hAnsi="Calibri"/>
          <w:color w:val="4F46E5"/>
        </w:rPr>
        <w:t>Operational Technical Risks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F172A"/>
            <w:tcMar>
              <w:top w:w="120" w:type="dxa"/>
              <w:bottom w:w="120" w:type="dxa"/>
              <w:left w:w="150" w:type="dxa"/>
              <w:right w:w="150" w:type="dxa"/>
            </w:tcMar>
          </w:tcPr>
          <w:p>
            <w:pPr>
              <w:jc w:val="left"/>
            </w:pPr>
            <w:r>
              <w:rPr>
                <w:rFonts w:ascii="Calibri" w:hAnsi="Calibri"/>
                <w:b/>
                <w:color w:val="FFFFFF"/>
                <w:sz w:val="19"/>
              </w:rPr>
              <w:t>Risk Id</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Description</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Impact</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Likelihood</w:t>
            </w:r>
          </w:p>
        </w:tc>
        <w:tc>
          <w:tcPr>
            <w:tcW w:type="dxa" w:w="1560"/>
            <w:shd w:fill="0F172A"/>
            <w:tcMar>
              <w:top w:w="120" w:type="dxa"/>
              <w:bottom w:w="120" w:type="dxa"/>
              <w:left w:w="150" w:type="dxa"/>
              <w:right w:w="150" w:type="dxa"/>
            </w:tcMar>
          </w:tcPr>
          <w:p>
            <w:pPr>
              <w:jc w:val="left"/>
            </w:pPr>
            <w:r>
              <w:rPr>
                <w:rFonts w:ascii="Calibri" w:hAnsi="Calibri"/>
                <w:b/>
                <w:color w:val="FFFFFF"/>
                <w:sz w:val="19"/>
              </w:rPr>
              <w:t>Mitigation Actions</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Rating</w:t>
            </w:r>
          </w:p>
        </w:tc>
      </w:tr>
      <w:tr>
        <w:tc>
          <w:tcPr>
            <w:tcW w:type="dxa" w:w="1560"/>
            <w:shd w:fill="FFFFFF"/>
            <w:tcMar>
              <w:top w:w="100" w:type="dxa"/>
              <w:bottom w:w="100" w:type="dxa"/>
              <w:left w:w="150" w:type="dxa"/>
              <w:right w:w="150" w:type="dxa"/>
            </w:tcMar>
          </w:tcPr>
          <w:p>
            <w:r>
              <w:rPr>
                <w:rFonts w:ascii="Calibri" w:hAnsi="Calibri"/>
                <w:color w:val="1E293B"/>
                <w:sz w:val="18"/>
              </w:rPr>
              <w:t>R2</w:t>
            </w:r>
          </w:p>
        </w:tc>
        <w:tc>
          <w:tcPr>
            <w:tcW w:type="dxa" w:w="1560"/>
            <w:shd w:fill="FFFFFF"/>
            <w:tcMar>
              <w:top w:w="100" w:type="dxa"/>
              <w:bottom w:w="100" w:type="dxa"/>
              <w:left w:w="150" w:type="dxa"/>
              <w:right w:w="150" w:type="dxa"/>
            </w:tcMar>
          </w:tcPr>
          <w:p>
            <w:r>
              <w:rPr>
                <w:rFonts w:ascii="Calibri" w:hAnsi="Calibri"/>
                <w:color w:val="1E293B"/>
                <w:sz w:val="18"/>
              </w:rPr>
              <w:t>Technical issues with data integration, model performance, and API security</w:t>
            </w:r>
          </w:p>
        </w:tc>
        <w:tc>
          <w:tcPr>
            <w:tcW w:type="dxa" w:w="1560"/>
            <w:shd w:fill="FFFFFF"/>
            <w:tcMar>
              <w:top w:w="100" w:type="dxa"/>
              <w:bottom w:w="100" w:type="dxa"/>
              <w:left w:w="150" w:type="dxa"/>
              <w:right w:w="150" w:type="dxa"/>
            </w:tcMar>
          </w:tcPr>
          <w:p>
            <w:r>
              <w:rPr>
                <w:rFonts w:ascii="Calibri" w:hAnsi="Calibri"/>
                <w:color w:val="1E293B"/>
                <w:sz w:val="18"/>
              </w:rPr>
              <w:t>Medium</w:t>
            </w:r>
          </w:p>
        </w:tc>
        <w:tc>
          <w:tcPr>
            <w:tcW w:type="dxa" w:w="1560"/>
            <w:shd w:fill="FFFFFF"/>
            <w:tcMar>
              <w:top w:w="100" w:type="dxa"/>
              <w:bottom w:w="100" w:type="dxa"/>
              <w:left w:w="150" w:type="dxa"/>
              <w:right w:w="150" w:type="dxa"/>
            </w:tcMar>
          </w:tcPr>
          <w:p>
            <w:r>
              <w:rPr>
                <w:rFonts w:ascii="Calibri" w:hAnsi="Calibri"/>
                <w:color w:val="1E293B"/>
                <w:sz w:val="18"/>
              </w:rPr>
              <w:t>High</w:t>
            </w:r>
          </w:p>
        </w:tc>
        <w:tc>
          <w:tcPr>
            <w:tcW w:type="dxa" w:w="1560"/>
            <w:shd w:fill="FFFFFF"/>
            <w:tcMar>
              <w:top w:w="100" w:type="dxa"/>
              <w:bottom w:w="100" w:type="dxa"/>
              <w:left w:w="150" w:type="dxa"/>
              <w:right w:w="150" w:type="dxa"/>
            </w:tcMar>
          </w:tcPr>
          <w:p>
            <w:r>
              <w:rPr>
                <w:rFonts w:ascii="Calibri" w:hAnsi="Calibri"/>
                <w:color w:val="1E293B"/>
                <w:sz w:val="18"/>
              </w:rPr>
              <w:t>• Conduct regular penetration testing and AI-specific threat modeling (model inversion, adversarial robustness)</w:t>
              <w:br/>
              <w:t>• Deploy robust audit logging, SIEM monitoring, and anomaly detection for PHI access</w:t>
              <w:br/>
              <w:t>• Implement end-to-end TLS encryption and AES-256 encryption at rest with rotation policies</w:t>
              <w:br/>
              <w:t>• Adopt OAuth 2.0/OpenID Connect with least-privilege scopes for API access</w:t>
              <w:br/>
              <w:t>• Regularly update and retrain models to maintain performance and accuracy</w:t>
            </w:r>
          </w:p>
        </w:tc>
        <w:tc>
          <w:tcPr>
            <w:tcW w:type="dxa" w:w="1560"/>
            <w:shd w:fill="FFFFFF"/>
            <w:tcMar>
              <w:top w:w="100" w:type="dxa"/>
              <w:bottom w:w="100" w:type="dxa"/>
              <w:left w:w="150" w:type="dxa"/>
              <w:right w:w="150" w:type="dxa"/>
            </w:tcMar>
          </w:tcPr>
          <w:p>
            <w:r>
              <w:rPr>
                <w:rFonts w:ascii="Calibri" w:hAnsi="Calibri"/>
                <w:color w:val="1E293B"/>
                <w:sz w:val="18"/>
              </w:rPr>
              <w:t>MEDIUM</w:t>
            </w:r>
          </w:p>
        </w:tc>
      </w:tr>
    </w:tbl>
    <w:p>
      <w:pPr>
        <w:spacing w:after="160"/>
      </w:pPr>
    </w:p>
    <w:p>
      <w:pPr>
        <w:pStyle w:val="Heading2"/>
        <w:spacing w:before="200" w:after="80"/>
      </w:pPr>
      <w:r>
        <w:rPr>
          <w:rFonts w:ascii="Calibri" w:hAnsi="Calibri"/>
          <w:color w:val="4F46E5"/>
        </w:rPr>
        <w:t>Market Financial Risks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F172A"/>
            <w:tcMar>
              <w:top w:w="120" w:type="dxa"/>
              <w:bottom w:w="120" w:type="dxa"/>
              <w:left w:w="150" w:type="dxa"/>
              <w:right w:w="150" w:type="dxa"/>
            </w:tcMar>
          </w:tcPr>
          <w:p>
            <w:pPr>
              <w:jc w:val="left"/>
            </w:pPr>
            <w:r>
              <w:rPr>
                <w:rFonts w:ascii="Calibri" w:hAnsi="Calibri"/>
                <w:b/>
                <w:color w:val="FFFFFF"/>
                <w:sz w:val="19"/>
              </w:rPr>
              <w:t>Risk Id</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Description</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Impact</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Likelihood</w:t>
            </w:r>
          </w:p>
        </w:tc>
        <w:tc>
          <w:tcPr>
            <w:tcW w:type="dxa" w:w="1560"/>
            <w:shd w:fill="0F172A"/>
            <w:tcMar>
              <w:top w:w="120" w:type="dxa"/>
              <w:bottom w:w="120" w:type="dxa"/>
              <w:left w:w="150" w:type="dxa"/>
              <w:right w:w="150" w:type="dxa"/>
            </w:tcMar>
          </w:tcPr>
          <w:p>
            <w:pPr>
              <w:jc w:val="left"/>
            </w:pPr>
            <w:r>
              <w:rPr>
                <w:rFonts w:ascii="Calibri" w:hAnsi="Calibri"/>
                <w:b/>
                <w:color w:val="FFFFFF"/>
                <w:sz w:val="19"/>
              </w:rPr>
              <w:t>Mitigation Actions</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Rating</w:t>
            </w:r>
          </w:p>
        </w:tc>
      </w:tr>
      <w:tr>
        <w:tc>
          <w:tcPr>
            <w:tcW w:type="dxa" w:w="1560"/>
            <w:shd w:fill="FFFFFF"/>
            <w:tcMar>
              <w:top w:w="100" w:type="dxa"/>
              <w:bottom w:w="100" w:type="dxa"/>
              <w:left w:w="150" w:type="dxa"/>
              <w:right w:w="150" w:type="dxa"/>
            </w:tcMar>
          </w:tcPr>
          <w:p>
            <w:r>
              <w:rPr>
                <w:rFonts w:ascii="Calibri" w:hAnsi="Calibri"/>
                <w:color w:val="1E293B"/>
                <w:sz w:val="18"/>
              </w:rPr>
              <w:t>R3</w:t>
            </w:r>
          </w:p>
        </w:tc>
        <w:tc>
          <w:tcPr>
            <w:tcW w:type="dxa" w:w="1560"/>
            <w:shd w:fill="FFFFFF"/>
            <w:tcMar>
              <w:top w:w="100" w:type="dxa"/>
              <w:bottom w:w="100" w:type="dxa"/>
              <w:left w:w="150" w:type="dxa"/>
              <w:right w:w="150" w:type="dxa"/>
            </w:tcMar>
          </w:tcPr>
          <w:p>
            <w:r>
              <w:rPr>
                <w:rFonts w:ascii="Calibri" w:hAnsi="Calibri"/>
                <w:color w:val="1E293B"/>
                <w:sz w:val="18"/>
              </w:rPr>
              <w:t>Inaccurate market sizing, inflated TAM, and unrealistic revenue projections</w:t>
            </w:r>
          </w:p>
        </w:tc>
        <w:tc>
          <w:tcPr>
            <w:tcW w:type="dxa" w:w="1560"/>
            <w:shd w:fill="FFFFFF"/>
            <w:tcMar>
              <w:top w:w="100" w:type="dxa"/>
              <w:bottom w:w="100" w:type="dxa"/>
              <w:left w:w="150" w:type="dxa"/>
              <w:right w:w="150" w:type="dxa"/>
            </w:tcMar>
          </w:tcPr>
          <w:p>
            <w:r>
              <w:rPr>
                <w:rFonts w:ascii="Calibri" w:hAnsi="Calibri"/>
                <w:color w:val="1E293B"/>
                <w:sz w:val="18"/>
              </w:rPr>
              <w:t>High</w:t>
            </w:r>
          </w:p>
        </w:tc>
        <w:tc>
          <w:tcPr>
            <w:tcW w:type="dxa" w:w="1560"/>
            <w:shd w:fill="FFFFFF"/>
            <w:tcMar>
              <w:top w:w="100" w:type="dxa"/>
              <w:bottom w:w="100" w:type="dxa"/>
              <w:left w:w="150" w:type="dxa"/>
              <w:right w:w="150" w:type="dxa"/>
            </w:tcMar>
          </w:tcPr>
          <w:p>
            <w:r>
              <w:rPr>
                <w:rFonts w:ascii="Calibri" w:hAnsi="Calibri"/>
                <w:color w:val="1E293B"/>
                <w:sz w:val="18"/>
              </w:rPr>
              <w:t>Medium</w:t>
            </w:r>
          </w:p>
        </w:tc>
        <w:tc>
          <w:tcPr>
            <w:tcW w:type="dxa" w:w="1560"/>
            <w:shd w:fill="FFFFFF"/>
            <w:tcMar>
              <w:top w:w="100" w:type="dxa"/>
              <w:bottom w:w="100" w:type="dxa"/>
              <w:left w:w="150" w:type="dxa"/>
              <w:right w:w="150" w:type="dxa"/>
            </w:tcMar>
          </w:tcPr>
          <w:p>
            <w:r>
              <w:rPr>
                <w:rFonts w:ascii="Calibri" w:hAnsi="Calibri"/>
                <w:color w:val="1E293B"/>
                <w:sz w:val="18"/>
              </w:rPr>
              <w:t>• Conduct rigorous market research to validate TAM, SAM, and SOM estimates</w:t>
              <w:br/>
              <w:t>• Revise CAC and LTV assumptions to reflect realistic enterprise sales cycles and churn rates</w:t>
              <w:br/>
              <w:t>• Detail compliance, data-security, and ongoing model-maintenance cost structure to justify gross-margin claims</w:t>
              <w:br/>
              <w:t>• Outline a clear competitive differentiation strategy against entrenched players like Catapult and Kitman Labs</w:t>
            </w:r>
          </w:p>
        </w:tc>
        <w:tc>
          <w:tcPr>
            <w:tcW w:type="dxa" w:w="1560"/>
            <w:shd w:fill="FFFFFF"/>
            <w:tcMar>
              <w:top w:w="100" w:type="dxa"/>
              <w:bottom w:w="100" w:type="dxa"/>
              <w:left w:w="150" w:type="dxa"/>
              <w:right w:w="150" w:type="dxa"/>
            </w:tcMar>
          </w:tcPr>
          <w:p>
            <w:r>
              <w:rPr>
                <w:rFonts w:ascii="Calibri" w:hAnsi="Calibri"/>
                <w:color w:val="1E293B"/>
                <w:sz w:val="18"/>
              </w:rPr>
              <w:t>HIGH</w:t>
            </w:r>
          </w:p>
        </w:tc>
      </w:tr>
    </w:tbl>
    <w:p>
      <w:pPr>
        <w:spacing w:after="160"/>
      </w:pPr>
    </w:p>
    <w:p>
      <w:pPr>
        <w:pStyle w:val="Heading2"/>
        <w:spacing w:before="200" w:after="80"/>
      </w:pPr>
      <w:r>
        <w:rPr>
          <w:rFonts w:ascii="Calibri" w:hAnsi="Calibri"/>
          <w:color w:val="4F46E5"/>
        </w:rPr>
        <w:t>Critic Adversarial Vulnerabilities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fill="0F172A"/>
            <w:tcMar>
              <w:top w:w="120" w:type="dxa"/>
              <w:bottom w:w="120" w:type="dxa"/>
              <w:left w:w="150" w:type="dxa"/>
              <w:right w:w="150" w:type="dxa"/>
            </w:tcMar>
          </w:tcPr>
          <w:p>
            <w:pPr>
              <w:jc w:val="left"/>
            </w:pPr>
            <w:r>
              <w:rPr>
                <w:rFonts w:ascii="Calibri" w:hAnsi="Calibri"/>
                <w:b/>
                <w:color w:val="FFFFFF"/>
                <w:sz w:val="19"/>
              </w:rPr>
              <w:t>Risk Id</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Description</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Impact</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Likelihood</w:t>
            </w:r>
          </w:p>
        </w:tc>
        <w:tc>
          <w:tcPr>
            <w:tcW w:type="dxa" w:w="1560"/>
            <w:shd w:fill="0F172A"/>
            <w:tcMar>
              <w:top w:w="120" w:type="dxa"/>
              <w:bottom w:w="120" w:type="dxa"/>
              <w:left w:w="150" w:type="dxa"/>
              <w:right w:w="150" w:type="dxa"/>
            </w:tcMar>
          </w:tcPr>
          <w:p>
            <w:pPr>
              <w:jc w:val="left"/>
            </w:pPr>
            <w:r>
              <w:rPr>
                <w:rFonts w:ascii="Calibri" w:hAnsi="Calibri"/>
                <w:b/>
                <w:color w:val="FFFFFF"/>
                <w:sz w:val="19"/>
              </w:rPr>
              <w:t>Mitigation Actions</w:t>
            </w:r>
          </w:p>
        </w:tc>
        <w:tc>
          <w:tcPr>
            <w:tcW w:type="dxa" w:w="1560"/>
            <w:shd w:fill="0F172A"/>
            <w:tcMar>
              <w:top w:w="120" w:type="dxa"/>
              <w:bottom w:w="120" w:type="dxa"/>
              <w:left w:w="150" w:type="dxa"/>
              <w:right w:w="150" w:type="dxa"/>
            </w:tcMar>
          </w:tcPr>
          <w:p>
            <w:pPr>
              <w:jc w:val="left"/>
            </w:pPr>
            <w:r>
              <w:rPr>
                <w:rFonts w:ascii="Calibri" w:hAnsi="Calibri"/>
                <w:b/>
                <w:color w:val="FFFFFF"/>
                <w:sz w:val="19"/>
              </w:rPr>
              <w:t>Risk Rating</w:t>
            </w:r>
          </w:p>
        </w:tc>
      </w:tr>
      <w:tr>
        <w:tc>
          <w:tcPr>
            <w:tcW w:type="dxa" w:w="1560"/>
            <w:shd w:fill="FFFFFF"/>
            <w:tcMar>
              <w:top w:w="100" w:type="dxa"/>
              <w:bottom w:w="100" w:type="dxa"/>
              <w:left w:w="150" w:type="dxa"/>
              <w:right w:w="150" w:type="dxa"/>
            </w:tcMar>
          </w:tcPr>
          <w:p>
            <w:r>
              <w:rPr>
                <w:rFonts w:ascii="Calibri" w:hAnsi="Calibri"/>
                <w:color w:val="1E293B"/>
                <w:sz w:val="18"/>
              </w:rPr>
              <w:t>R4</w:t>
            </w:r>
          </w:p>
        </w:tc>
        <w:tc>
          <w:tcPr>
            <w:tcW w:type="dxa" w:w="1560"/>
            <w:shd w:fill="FFFFFF"/>
            <w:tcMar>
              <w:top w:w="100" w:type="dxa"/>
              <w:bottom w:w="100" w:type="dxa"/>
              <w:left w:w="150" w:type="dxa"/>
              <w:right w:w="150" w:type="dxa"/>
            </w:tcMar>
          </w:tcPr>
          <w:p>
            <w:r>
              <w:rPr>
                <w:rFonts w:ascii="Calibri" w:hAnsi="Calibri"/>
                <w:color w:val="1E293B"/>
                <w:sz w:val="18"/>
              </w:rPr>
              <w:t>Critic concerns regarding inflated TAM, weak defensibility of data moat, and high CAC</w:t>
            </w:r>
          </w:p>
        </w:tc>
        <w:tc>
          <w:tcPr>
            <w:tcW w:type="dxa" w:w="1560"/>
            <w:shd w:fill="FFFFFF"/>
            <w:tcMar>
              <w:top w:w="100" w:type="dxa"/>
              <w:bottom w:w="100" w:type="dxa"/>
              <w:left w:w="150" w:type="dxa"/>
              <w:right w:w="150" w:type="dxa"/>
            </w:tcMar>
          </w:tcPr>
          <w:p>
            <w:r>
              <w:rPr>
                <w:rFonts w:ascii="Calibri" w:hAnsi="Calibri"/>
                <w:color w:val="1E293B"/>
                <w:sz w:val="18"/>
              </w:rPr>
              <w:t>High</w:t>
            </w:r>
          </w:p>
        </w:tc>
        <w:tc>
          <w:tcPr>
            <w:tcW w:type="dxa" w:w="1560"/>
            <w:shd w:fill="FFFFFF"/>
            <w:tcMar>
              <w:top w:w="100" w:type="dxa"/>
              <w:bottom w:w="100" w:type="dxa"/>
              <w:left w:w="150" w:type="dxa"/>
              <w:right w:w="150" w:type="dxa"/>
            </w:tcMar>
          </w:tcPr>
          <w:p>
            <w:r>
              <w:rPr>
                <w:rFonts w:ascii="Calibri" w:hAnsi="Calibri"/>
                <w:color w:val="1E293B"/>
                <w:sz w:val="18"/>
              </w:rPr>
              <w:t>High</w:t>
            </w:r>
          </w:p>
        </w:tc>
        <w:tc>
          <w:tcPr>
            <w:tcW w:type="dxa" w:w="1560"/>
            <w:shd w:fill="FFFFFF"/>
            <w:tcMar>
              <w:top w:w="100" w:type="dxa"/>
              <w:bottom w:w="100" w:type="dxa"/>
              <w:left w:w="150" w:type="dxa"/>
              <w:right w:w="150" w:type="dxa"/>
            </w:tcMar>
          </w:tcPr>
          <w:p>
            <w:r>
              <w:rPr>
                <w:rFonts w:ascii="Calibri" w:hAnsi="Calibri"/>
                <w:color w:val="1E293B"/>
                <w:sz w:val="18"/>
              </w:rPr>
              <w:t>• Provide a rigorously sourced TAM/SAM/SOM analysis that aligns club counts with actual budgetary capacity</w:t>
              <w:br/>
              <w:t>• Demonstrate defensible data advantage with third-party validation or exclusive partnerships</w:t>
              <w:br/>
              <w:t>• Revise CAC and LTV assumptions to reflect realistic enterprise sales cycles and churn rates</w:t>
              <w:br/>
              <w:t>• Show concrete ROI case studies that prove the 7-day forecast drives cost savings for clubs</w:t>
            </w:r>
          </w:p>
        </w:tc>
        <w:tc>
          <w:tcPr>
            <w:tcW w:type="dxa" w:w="1560"/>
            <w:shd w:fill="FFFFFF"/>
            <w:tcMar>
              <w:top w:w="100" w:type="dxa"/>
              <w:bottom w:w="100" w:type="dxa"/>
              <w:left w:w="150" w:type="dxa"/>
              <w:right w:w="150" w:type="dxa"/>
            </w:tcMar>
          </w:tcPr>
          <w:p>
            <w:r>
              <w:rPr>
                <w:rFonts w:ascii="Calibri" w:hAnsi="Calibri"/>
                <w:color w:val="1E293B"/>
                <w:sz w:val="18"/>
              </w:rPr>
              <w:t>CRITICAL</w:t>
            </w:r>
          </w:p>
        </w:tc>
      </w:tr>
    </w:tbl>
    <w:p>
      <w:pPr>
        <w:spacing w:after="160"/>
      </w:pPr>
    </w:p>
    <w:p>
      <w:pPr>
        <w:spacing w:after="200"/>
      </w:pPr>
    </w:p>
    <w:p>
      <w:pPr>
        <w:pStyle w:val="Heading1"/>
        <w:spacing w:before="360" w:after="120"/>
      </w:pPr>
      <w:r>
        <w:rPr>
          <w:rFonts w:ascii="Calibri" w:hAnsi="Calibri"/>
          <w:b/>
          <w:color w:val="0F172A"/>
          <w:sz w:val="28"/>
        </w:rPr>
        <w:t>SECTION 13.0 — SWOT ANALYSIS</w:t>
      </w:r>
    </w:p>
    <w:p>
      <w:pPr>
        <w:pStyle w:val="Heading2"/>
        <w:spacing w:before="200" w:after="80"/>
      </w:pPr>
      <w:r>
        <w:rPr>
          <w:rFonts w:ascii="Calibri" w:hAnsi="Calibri"/>
          <w:color w:val="4F46E5"/>
        </w:rPr>
        <w:t>Strengths</w:t>
      </w:r>
    </w:p>
    <w:p>
      <w:pPr>
        <w:pStyle w:val="ListBullet"/>
        <w:spacing w:after="60" w:line="276" w:lineRule="auto"/>
      </w:pPr>
      <w:r>
        <w:rPr>
          <w:rFonts w:ascii="Calibri" w:hAnsi="Calibri"/>
          <w:color w:val="1E293B"/>
          <w:sz w:val="20"/>
        </w:rPr>
        <w:t>Proprietary 200M+ hour athlete data lake</w:t>
      </w:r>
    </w:p>
    <w:p>
      <w:pPr>
        <w:pStyle w:val="ListBullet"/>
        <w:spacing w:after="60" w:line="276" w:lineRule="auto"/>
      </w:pPr>
      <w:r>
        <w:rPr>
          <w:rFonts w:ascii="Calibri" w:hAnsi="Calibri"/>
          <w:color w:val="1E293B"/>
          <w:sz w:val="20"/>
        </w:rPr>
        <w:t>Patented deep-learning injury-prediction algorithms</w:t>
      </w:r>
    </w:p>
    <w:p>
      <w:pPr>
        <w:pStyle w:val="ListBullet"/>
        <w:spacing w:after="60" w:line="276" w:lineRule="auto"/>
      </w:pPr>
      <w:r>
        <w:rPr>
          <w:rFonts w:ascii="Calibri" w:hAnsi="Calibri"/>
          <w:color w:val="1E293B"/>
          <w:sz w:val="20"/>
        </w:rPr>
        <w:t>Network effects from club-level data contributions</w:t>
      </w:r>
    </w:p>
    <w:p>
      <w:pPr>
        <w:pStyle w:val="ListBullet"/>
        <w:spacing w:after="60" w:line="276" w:lineRule="auto"/>
      </w:pPr>
      <w:r>
        <w:rPr>
          <w:rFonts w:ascii="Calibri" w:hAnsi="Calibri"/>
          <w:color w:val="1E293B"/>
          <w:sz w:val="20"/>
        </w:rPr>
        <w:t>Plug-and-play integration layer covering wearables, EHRs, and video analytics</w:t>
      </w:r>
    </w:p>
    <w:p>
      <w:pPr>
        <w:pStyle w:val="ListBullet"/>
        <w:spacing w:after="60" w:line="276" w:lineRule="auto"/>
      </w:pPr>
      <w:r>
        <w:rPr>
          <w:rFonts w:ascii="Calibri" w:hAnsi="Calibri"/>
          <w:color w:val="1E293B"/>
          <w:sz w:val="20"/>
        </w:rPr>
        <w:t>Regulatory-grade data security and HIPAA compliance</w:t>
      </w:r>
    </w:p>
    <w:p>
      <w:pPr>
        <w:pStyle w:val="ListBullet"/>
        <w:spacing w:after="60" w:line="276" w:lineRule="auto"/>
      </w:pPr>
      <w:r>
        <w:rPr>
          <w:rFonts w:ascii="Calibri" w:hAnsi="Calibri"/>
          <w:color w:val="1E293B"/>
          <w:sz w:val="20"/>
        </w:rPr>
        <w:t>Strong positioning in the high-integration, long-forecast quadrant</w:t>
      </w:r>
    </w:p>
    <w:p>
      <w:pPr>
        <w:pStyle w:val="ListBullet"/>
        <w:spacing w:after="60" w:line="276" w:lineRule="auto"/>
      </w:pPr>
      <w:r>
        <w:rPr>
          <w:rFonts w:ascii="Calibri" w:hAnsi="Calibri"/>
          <w:color w:val="1E293B"/>
          <w:sz w:val="20"/>
        </w:rPr>
        <w:t>Potential for high customer lifetime value (LTV) and low churn rates</w:t>
      </w:r>
    </w:p>
    <w:p>
      <w:pPr>
        <w:pStyle w:val="ListBullet"/>
        <w:spacing w:after="60" w:line="276" w:lineRule="auto"/>
      </w:pPr>
      <w:r>
        <w:rPr>
          <w:rFonts w:ascii="Calibri" w:hAnsi="Calibri"/>
          <w:color w:val="1E293B"/>
          <w:sz w:val="20"/>
        </w:rPr>
        <w:t>Competitive pricing tiers with clear value propositions</w:t>
      </w:r>
    </w:p>
    <w:p>
      <w:pPr>
        <w:pStyle w:val="Heading2"/>
        <w:spacing w:before="200" w:after="80"/>
      </w:pPr>
      <w:r>
        <w:rPr>
          <w:rFonts w:ascii="Calibri" w:hAnsi="Calibri"/>
          <w:color w:val="4F46E5"/>
        </w:rPr>
        <w:t>Weaknesses</w:t>
      </w:r>
    </w:p>
    <w:p>
      <w:pPr>
        <w:pStyle w:val="ListBullet"/>
        <w:spacing w:after="60" w:line="276" w:lineRule="auto"/>
      </w:pPr>
      <w:r>
        <w:rPr>
          <w:rFonts w:ascii="Calibri" w:hAnsi="Calibri"/>
          <w:color w:val="1E293B"/>
          <w:sz w:val="20"/>
        </w:rPr>
        <w:t>Inflated bottom-up TAM based on unrealistic club count and ACV</w:t>
      </w:r>
    </w:p>
    <w:p>
      <w:pPr>
        <w:pStyle w:val="ListBullet"/>
        <w:spacing w:after="60" w:line="276" w:lineRule="auto"/>
      </w:pPr>
      <w:r>
        <w:rPr>
          <w:rFonts w:ascii="Calibri" w:hAnsi="Calibri"/>
          <w:color w:val="1E293B"/>
          <w:sz w:val="20"/>
        </w:rPr>
        <w:t>Weak defensibility of the data moat - competitors can acquire similar data or build in-house models</w:t>
      </w:r>
    </w:p>
    <w:p>
      <w:pPr>
        <w:pStyle w:val="ListBullet"/>
        <w:spacing w:after="60" w:line="276" w:lineRule="auto"/>
      </w:pPr>
      <w:r>
        <w:rPr>
          <w:rFonts w:ascii="Calibri" w:hAnsi="Calibri"/>
          <w:color w:val="1E293B"/>
          <w:sz w:val="20"/>
        </w:rPr>
        <w:t>Patents on AI algorithms are unlikely to survive legal scrutiny</w:t>
      </w:r>
    </w:p>
    <w:p>
      <w:pPr>
        <w:pStyle w:val="ListBullet"/>
        <w:spacing w:after="60" w:line="276" w:lineRule="auto"/>
      </w:pPr>
      <w:r>
        <w:rPr>
          <w:rFonts w:ascii="Calibri" w:hAnsi="Calibri"/>
          <w:color w:val="1E293B"/>
          <w:sz w:val="20"/>
        </w:rPr>
        <w:t>CAC estimate far below industry norms for enterprise sports SaaS</w:t>
      </w:r>
    </w:p>
    <w:p>
      <w:pPr>
        <w:pStyle w:val="ListBullet"/>
        <w:spacing w:after="60" w:line="276" w:lineRule="auto"/>
      </w:pPr>
      <w:r>
        <w:rPr>
          <w:rFonts w:ascii="Calibri" w:hAnsi="Calibri"/>
          <w:color w:val="1E293B"/>
          <w:sz w:val="20"/>
        </w:rPr>
        <w:t>LTV calculation assumes low churn and rapid upsell, which is doubtful</w:t>
      </w:r>
    </w:p>
    <w:p>
      <w:pPr>
        <w:pStyle w:val="ListBullet"/>
        <w:spacing w:after="60" w:line="276" w:lineRule="auto"/>
      </w:pPr>
      <w:r>
        <w:rPr>
          <w:rFonts w:ascii="Calibri" w:hAnsi="Calibri"/>
          <w:color w:val="1E293B"/>
          <w:sz w:val="20"/>
        </w:rPr>
        <w:t>Gross margin ignores compliance, data-engineering, and ongoing model-training costs</w:t>
      </w:r>
    </w:p>
    <w:p>
      <w:pPr>
        <w:pStyle w:val="ListBullet"/>
        <w:spacing w:after="60" w:line="276" w:lineRule="auto"/>
      </w:pPr>
      <w:r>
        <w:rPr>
          <w:rFonts w:ascii="Calibri" w:hAnsi="Calibri"/>
          <w:color w:val="1E293B"/>
          <w:sz w:val="20"/>
        </w:rPr>
        <w:t>Reliance on integration with 'any' wearable is technically oversimplified</w:t>
      </w:r>
    </w:p>
    <w:p>
      <w:pPr>
        <w:pStyle w:val="ListBullet"/>
        <w:spacing w:after="60" w:line="276" w:lineRule="auto"/>
      </w:pPr>
      <w:r>
        <w:rPr>
          <w:rFonts w:ascii="Calibri" w:hAnsi="Calibri"/>
          <w:color w:val="1E293B"/>
          <w:sz w:val="20"/>
        </w:rPr>
        <w:t>High risk of regulatory and data-privacy hurdles</w:t>
      </w:r>
    </w:p>
    <w:p>
      <w:pPr>
        <w:pStyle w:val="ListBullet"/>
        <w:spacing w:after="60" w:line="276" w:lineRule="auto"/>
      </w:pPr>
      <w:r>
        <w:rPr>
          <w:rFonts w:ascii="Calibri" w:hAnsi="Calibri"/>
          <w:color w:val="1E293B"/>
          <w:sz w:val="20"/>
        </w:rPr>
        <w:t>Unclear competitive differentiation strategy against entrenched players</w:t>
      </w:r>
    </w:p>
    <w:p>
      <w:pPr>
        <w:pStyle w:val="Heading2"/>
        <w:spacing w:before="200" w:after="80"/>
      </w:pPr>
      <w:r>
        <w:rPr>
          <w:rFonts w:ascii="Calibri" w:hAnsi="Calibri"/>
          <w:color w:val="4F46E5"/>
        </w:rPr>
        <w:t>Opportunities</w:t>
      </w:r>
    </w:p>
    <w:p>
      <w:pPr>
        <w:pStyle w:val="ListBullet"/>
        <w:spacing w:after="60" w:line="276" w:lineRule="auto"/>
      </w:pPr>
      <w:r>
        <w:rPr>
          <w:rFonts w:ascii="Calibri" w:hAnsi="Calibri"/>
          <w:color w:val="1E293B"/>
          <w:sz w:val="20"/>
        </w:rPr>
        <w:t>Growing demand for AI-driven injury prevention and performance optimization in elite sports</w:t>
      </w:r>
    </w:p>
    <w:p>
      <w:pPr>
        <w:pStyle w:val="ListBullet"/>
        <w:spacing w:after="60" w:line="276" w:lineRule="auto"/>
      </w:pPr>
      <w:r>
        <w:rPr>
          <w:rFonts w:ascii="Calibri" w:hAnsi="Calibri"/>
          <w:color w:val="1E293B"/>
          <w:sz w:val="20"/>
        </w:rPr>
        <w:t>Potential for partnerships with wearable manufacturers and league data providers</w:t>
      </w:r>
    </w:p>
    <w:p>
      <w:pPr>
        <w:pStyle w:val="ListBullet"/>
        <w:spacing w:after="60" w:line="276" w:lineRule="auto"/>
      </w:pPr>
      <w:r>
        <w:rPr>
          <w:rFonts w:ascii="Calibri" w:hAnsi="Calibri"/>
          <w:color w:val="1E293B"/>
          <w:sz w:val="20"/>
        </w:rPr>
        <w:t>Opportunities for expansion into new markets, such as collegiate sports and international federations</w:t>
      </w:r>
    </w:p>
    <w:p>
      <w:pPr>
        <w:pStyle w:val="ListBullet"/>
        <w:spacing w:after="60" w:line="276" w:lineRule="auto"/>
      </w:pPr>
      <w:r>
        <w:rPr>
          <w:rFonts w:ascii="Calibri" w:hAnsi="Calibri"/>
          <w:color w:val="1E293B"/>
          <w:sz w:val="20"/>
        </w:rPr>
        <w:t>Growing awareness of the importance of data security and compliance in the sports industry</w:t>
      </w:r>
    </w:p>
    <w:p>
      <w:pPr>
        <w:pStyle w:val="ListBullet"/>
        <w:spacing w:after="60" w:line="276" w:lineRule="auto"/>
      </w:pPr>
      <w:r>
        <w:rPr>
          <w:rFonts w:ascii="Calibri" w:hAnsi="Calibri"/>
          <w:color w:val="1E293B"/>
          <w:sz w:val="20"/>
        </w:rPr>
        <w:t>Potential for strategic acquisitions or partnerships to enhance the platform's capabilities</w:t>
      </w:r>
    </w:p>
    <w:p>
      <w:pPr>
        <w:pStyle w:val="ListBullet"/>
        <w:spacing w:after="60" w:line="276" w:lineRule="auto"/>
      </w:pPr>
      <w:r>
        <w:rPr>
          <w:rFonts w:ascii="Calibri" w:hAnsi="Calibri"/>
          <w:color w:val="1E293B"/>
          <w:sz w:val="20"/>
        </w:rPr>
        <w:t>Growing demand for data-driven decision-making in sports management and coaching</w:t>
      </w:r>
    </w:p>
    <w:p>
      <w:pPr>
        <w:pStyle w:val="ListBullet"/>
        <w:spacing w:after="60" w:line="276" w:lineRule="auto"/>
      </w:pPr>
      <w:r>
        <w:rPr>
          <w:rFonts w:ascii="Calibri" w:hAnsi="Calibri"/>
          <w:color w:val="1E293B"/>
          <w:sz w:val="20"/>
        </w:rPr>
        <w:t>Opportunities for Zone7 to establish itself as a thought leader in the sports tech industry</w:t>
      </w:r>
    </w:p>
    <w:p>
      <w:pPr>
        <w:pStyle w:val="Heading2"/>
        <w:spacing w:before="200" w:after="80"/>
      </w:pPr>
      <w:r>
        <w:rPr>
          <w:rFonts w:ascii="Calibri" w:hAnsi="Calibri"/>
          <w:color w:val="4F46E5"/>
        </w:rPr>
        <w:t>Threats</w:t>
      </w:r>
    </w:p>
    <w:p>
      <w:pPr>
        <w:pStyle w:val="ListBullet"/>
        <w:spacing w:after="60" w:line="276" w:lineRule="auto"/>
      </w:pPr>
      <w:r>
        <w:rPr>
          <w:rFonts w:ascii="Calibri" w:hAnsi="Calibri"/>
          <w:color w:val="1E293B"/>
          <w:sz w:val="20"/>
        </w:rPr>
        <w:t>Intense competition from established players in the sports tech industry</w:t>
      </w:r>
    </w:p>
    <w:p>
      <w:pPr>
        <w:pStyle w:val="ListBullet"/>
        <w:spacing w:after="60" w:line="276" w:lineRule="auto"/>
      </w:pPr>
      <w:r>
        <w:rPr>
          <w:rFonts w:ascii="Calibri" w:hAnsi="Calibri"/>
          <w:color w:val="1E293B"/>
          <w:sz w:val="20"/>
        </w:rPr>
        <w:t>Risk of regulatory changes or updates that could impact the platform's compliance and data security</w:t>
      </w:r>
    </w:p>
    <w:p>
      <w:pPr>
        <w:pStyle w:val="ListBullet"/>
        <w:spacing w:after="60" w:line="276" w:lineRule="auto"/>
      </w:pPr>
      <w:r>
        <w:rPr>
          <w:rFonts w:ascii="Calibri" w:hAnsi="Calibri"/>
          <w:color w:val="1E293B"/>
          <w:sz w:val="20"/>
        </w:rPr>
        <w:t>Risk of data breaches or security incidents that could damage the company's reputation</w:t>
      </w:r>
    </w:p>
    <w:p>
      <w:pPr>
        <w:pStyle w:val="ListBullet"/>
        <w:spacing w:after="60" w:line="276" w:lineRule="auto"/>
      </w:pPr>
      <w:r>
        <w:rPr>
          <w:rFonts w:ascii="Calibri" w:hAnsi="Calibri"/>
          <w:color w:val="1E293B"/>
          <w:sz w:val="20"/>
        </w:rPr>
        <w:t>Risk of competitors developing similar technologies or acquiring similar data</w:t>
      </w:r>
    </w:p>
    <w:p>
      <w:pPr>
        <w:pStyle w:val="ListBullet"/>
        <w:spacing w:after="60" w:line="276" w:lineRule="auto"/>
      </w:pPr>
      <w:r>
        <w:rPr>
          <w:rFonts w:ascii="Calibri" w:hAnsi="Calibri"/>
          <w:color w:val="1E293B"/>
          <w:sz w:val="20"/>
        </w:rPr>
        <w:t>Risk of changes in the sports industry that could impact the demand for the platform's services</w:t>
      </w:r>
    </w:p>
    <w:p>
      <w:pPr>
        <w:pStyle w:val="ListBullet"/>
        <w:spacing w:after="60" w:line="276" w:lineRule="auto"/>
      </w:pPr>
      <w:r>
        <w:rPr>
          <w:rFonts w:ascii="Calibri" w:hAnsi="Calibri"/>
          <w:color w:val="1E293B"/>
          <w:sz w:val="20"/>
        </w:rPr>
        <w:t>Risk of economic downturn or recession that could impact the company's revenue and growth</w:t>
      </w:r>
    </w:p>
    <w:p>
      <w:pPr>
        <w:pStyle w:val="ListBullet"/>
        <w:spacing w:after="60" w:line="276" w:lineRule="auto"/>
      </w:pPr>
      <w:r>
        <w:rPr>
          <w:rFonts w:ascii="Calibri" w:hAnsi="Calibri"/>
          <w:color w:val="1E293B"/>
          <w:sz w:val="20"/>
        </w:rPr>
        <w:t>Risk of changes in government policies or regulations that could impact the company's operations</w:t>
      </w:r>
    </w:p>
    <w:p>
      <w:pPr>
        <w:spacing w:after="2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