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Senior software engineer with 3.5+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i7spct2tv311" w:id="3"/>
      <w:bookmarkEnd w:id="3"/>
      <w:r w:rsidDel="00000000" w:rsidR="00000000" w:rsidRPr="00000000">
        <w:rPr>
          <w:b w:val="1"/>
          <w:bCs w:val="1"/>
          <w:rtl w:val="0"/>
        </w:rPr>
        <w:t xml:space="preserve">Senior Software Engineer II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July 2026 – Present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Took ownership of module architecture decisions and code review across the team, raising the bar for signal-store design and type safety as new modules ship.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Extended the Playwright/Vitest testing strategy into new coverage areas across all three apps as functionality grows.</w:t>
      </w:r>
    </w:p>
    <w:p w:rsidR="00000000" w:rsidDel="00000000" w:rsidP="00000000" w:rsidRDefault="00000000" w:rsidRPr="00000000" w14:paraId="000000A3">
      <w:pPr>
        <w:pStyle w:val="Heading3"/>
        <w:spacing w:before="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June 2026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standalone, Signals-first Angular 21 features across the Deviation, Checklist, and Handbook modules for Certain QMS — signal/computed/effect stores scoped per route (ngRx signal store), reactive forms, functional guards/resolvers, lazy routes, and HTTP interceptors — under strict TypeScript and OnPush change detection; used Claude and Cursor agents to accelerate component scaffolding and TypeScript type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Delivered Chart.js analytics dashboards (donut, gauge, risk-matrix, trend) with saved-search and date-range filtering, plus multi-format export — locale-aware Excel (xlsx-js-style), styled Word (docx), and inline PDF — and Quill rich text editing for deviation records.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 dual-authentication model: a JWT interceptor for internal users and a route-scoped OTP session flow enabling secure, read-only external sharing of deviation records without exposing internal logins.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Shipped fully localized UI via @ngx-translate (Norwegian bokmål/nynorsk + English, 1,000+ keys) with locale-driven date/number formatting, extending shared sdk-ui/cdk-ui libraries on a Tailwind 4 + custom Angular Material design system.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Authored Playwright end-to-end tests across all three apps — multi-project config with per-app auth and storage-state reuse, synthetic-persona data factories with automated cleanup, and traces/video-on-failure with CI-ready JUnit reporting — complementing Vitest unit coverage; leveraged AI agents (Claude, OpenCode) to generate test data factories and review coverage gaps.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(3.5+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>
      <w:pPr>
        <w:pStyle w:val="Heading3"/>
        <w:keepNext w:val="1"/>
        <w:spacing w:after="60" w:before="200" w:line="276" w:lineRule="auto"/>
        <w:rPr>
          <w:b w:val="0"/>
          <w:bCs w:val="0"/>
        </w:rPr>
      </w:pPr>
      <w:r>
        <w:rPr>
          <w:b w:val="1"/>
          <w:bCs w:val="1"/>
          <w:rtl w:val="0"/>
        </w:rPr>
        <w:t xml:space="preserve">Rent-ERP</w:t>
      </w:r>
      <w:r>
        <w:rPr>
          <w:b w:val="0"/>
          <w:bCs w:val="0"/>
          <w:rtl w:val="0"/>
        </w:rPr>
        <w:t xml:space="preserve"> — Single-organisation property-management ERP across three surfaces — .NET 10 modular monolith · Angular 21 admin console · React Native (Expo) tenant/employee app. Property hierarchy, per-tenant billing with bKash, accounting, HRM, and SMS/FCM notifications; permission-bitmask roles with persona switching; auto-migrate + seed, no SQL scripts. Reuses the CampusQ architecture, minus the multi-tenant SaaS layer.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