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 xml:space="preserve">ARAG v1.0: Release Review &amp; Retrospective</w:t>
      </w:r>
    </w:p>
    <w:p>
      <w:pPr>
        <w:pStyle w:val="Subtitle"/>
      </w:pPr>
      <w:r>
        <w:t xml:space="preserve">Dealer Support Assistant — milestone review, go/no-go for shadow mode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400"/>
        <w:gridCol w:w="6960"/>
      </w:tblGrid>
      <w:tr>
        <w:trPr>
          <w:tblHeader/>
        </w:trPr>
        <w:tc>
          <w:tcPr>
            <w:tcW w:w="2400" w:type="dxa"/>
            <w:shd w:val="clear" w:color="auto" w:fill="E8EEF4"/>
          </w:tcPr>
          <w:p>
            <w:pPr>
              <w:spacing w:after="0" w:line="240" w:lineRule="auto"/>
            </w:pPr>
            <w:r>
              <w:rPr>
                <w:b/>
                <w:bCs/>
              </w:rPr>
              <w:t xml:space="preserve">Field</w:t>
            </w:r>
          </w:p>
        </w:tc>
        <w:tc>
          <w:tcPr>
            <w:tcW w:w="6960" w:type="dxa"/>
            <w:shd w:val="clear" w:color="auto" w:fill="E8EEF4"/>
          </w:tcPr>
          <w:p>
            <w:pPr>
              <w:spacing w:after="0" w:line="240" w:lineRule="auto"/>
            </w:pPr>
            <w:r>
              <w:rPr>
                <w:b/>
                <w:bCs/>
              </w:rPr>
              <w:t xml:space="preserve">Detail</w:t>
            </w:r>
          </w:p>
        </w:tc>
      </w:tr>
      <w:tr>
        <w:trPr>
          <w:cantSplit/>
        </w:trPr>
        <w:tc>
          <w:tcPr>
            <w:tcW w:w="2400" w:type="dxa"/>
          </w:tcPr>
          <w:p>
            <w:pPr>
              <w:spacing w:after="0" w:line="240" w:lineRule="auto"/>
            </w:pPr>
            <w:r>
              <w:t xml:space="preserve">Milestone</w:t>
            </w:r>
          </w:p>
        </w:tc>
        <w:tc>
          <w:tcPr>
            <w:tcW w:w="6960" w:type="dxa"/>
          </w:tcPr>
          <w:p>
            <w:pPr>
              <w:spacing w:after="0" w:line="240" w:lineRule="auto"/>
            </w:pPr>
            <w:r>
              <w:t xml:space="preserve">v1.0 — offline build and evaluation complete (rollout stage 1)</w:t>
            </w:r>
          </w:p>
        </w:tc>
      </w:tr>
      <w:tr>
        <w:trPr>
          <w:cantSplit/>
        </w:trPr>
        <w:tc>
          <w:tcPr>
            <w:tcW w:w="2400" w:type="dxa"/>
          </w:tcPr>
          <w:p>
            <w:pPr>
              <w:spacing w:after="0" w:line="240" w:lineRule="auto"/>
            </w:pPr>
            <w:r>
              <w:t xml:space="preserve">Review date</w:t>
            </w:r>
          </w:p>
        </w:tc>
        <w:tc>
          <w:tcPr>
            <w:tcW w:w="6960" w:type="dxa"/>
          </w:tcPr>
          <w:p>
            <w:pPr>
              <w:spacing w:after="0" w:line="240" w:lineRule="auto"/>
            </w:pPr>
            <w:r>
              <w:t xml:space="preserve">8 October 2026</w:t>
            </w:r>
          </w:p>
        </w:tc>
      </w:tr>
      <w:tr>
        <w:trPr>
          <w:cantSplit/>
        </w:trPr>
        <w:tc>
          <w:tcPr>
            <w:tcW w:w="2400" w:type="dxa"/>
          </w:tcPr>
          <w:p>
            <w:pPr>
              <w:spacing w:after="0" w:line="240" w:lineRule="auto"/>
            </w:pPr>
            <w:r>
              <w:t xml:space="preserve">Period</w:t>
            </w:r>
          </w:p>
        </w:tc>
        <w:tc>
          <w:tcPr>
            <w:tcW w:w="6960" w:type="dxa"/>
          </w:tcPr>
          <w:p>
            <w:pPr>
              <w:spacing w:after="0" w:line="240" w:lineRule="auto"/>
            </w:pPr>
            <w:r>
              <w:t xml:space="preserve">2–8 October 2026</w:t>
            </w:r>
          </w:p>
        </w:tc>
      </w:tr>
      <w:tr>
        <w:trPr>
          <w:cantSplit/>
        </w:trPr>
        <w:tc>
          <w:tcPr>
            <w:tcW w:w="2400" w:type="dxa"/>
          </w:tcPr>
          <w:p>
            <w:pPr>
              <w:spacing w:after="0" w:line="240" w:lineRule="auto"/>
            </w:pPr>
            <w:r>
              <w:t xml:space="preserve">Author</w:t>
            </w:r>
          </w:p>
        </w:tc>
        <w:tc>
          <w:tcPr>
            <w:tcW w:w="6960" w:type="dxa"/>
          </w:tcPr>
          <w:p>
            <w:pPr>
              <w:spacing w:after="0" w:line="240" w:lineRule="auto"/>
            </w:pPr>
            <w:r>
              <w:t xml:space="preserve">[Your Name], Product Manager</w:t>
            </w:r>
          </w:p>
        </w:tc>
      </w:tr>
      <w:tr>
        <w:trPr>
          <w:cantSplit/>
        </w:trPr>
        <w:tc>
          <w:tcPr>
            <w:tcW w:w="2400" w:type="dxa"/>
          </w:tcPr>
          <w:p>
            <w:pPr>
              <w:spacing w:after="0" w:line="240" w:lineRule="auto"/>
            </w:pPr>
            <w:r>
              <w:t xml:space="preserve">Decision requested</w:t>
            </w:r>
          </w:p>
        </w:tc>
        <w:tc>
          <w:tcPr>
            <w:tcW w:w="6960" w:type="dxa"/>
          </w:tcPr>
          <w:p>
            <w:pPr>
              <w:spacing w:after="0" w:line="240" w:lineRule="auto"/>
            </w:pPr>
            <w:r>
              <w:t xml:space="preserve">Go / no-go for rollout stage 2 (shadow mode)</w:t>
            </w:r>
          </w:p>
        </w:tc>
      </w:tr>
      <w:tr>
        <w:trPr>
          <w:cantSplit/>
        </w:trPr>
        <w:tc>
          <w:tcPr>
            <w:tcW w:w="2400" w:type="dxa"/>
          </w:tcPr>
          <w:p>
            <w:pPr>
              <w:spacing w:after="0" w:line="240" w:lineRule="auto"/>
            </w:pPr>
            <w:r>
              <w:t xml:space="preserve">Related documents</w:t>
            </w:r>
          </w:p>
        </w:tc>
        <w:tc>
          <w:tcPr>
            <w:tcW w:w="6960" w:type="dxa"/>
          </w:tcPr>
          <w:p>
            <w:pPr>
              <w:spacing w:after="0" w:line="240" w:lineRule="auto"/>
            </w:pPr>
            <w:r>
              <w:t xml:space="preserve">PRD v2.3 (docs/ARAG_Model_PRD.docx) · RAID log (docs/ARAG_RAID_Log.xlsx) · CHANGELOG.md</w:t>
            </w:r>
          </w:p>
        </w:tc>
      </w:tr>
    </w:tbl>
    <w:p>
      <w:pPr>
        <w:spacing w:after="0"/>
      </w:pPr>
    </w:p>
    <w:p>
      <w:pPr>
        <w:pStyle w:val="Heading1"/>
      </w:pPr>
      <w:r>
        <w:t xml:space="preserve">Summary and Recommendation</w:t>
      </w:r>
    </w:p>
    <w:p>
      <w:pPr>
        <w:spacing w:after="120"/>
      </w:pPr>
      <w:r>
        <w:t xml:space="preserve">v1.0 delivers the full planned scope: an assistant that answers dealer support questions from policy documents and live systems, with cited answers, explained routing and graceful fallbacks. It meets 5 of the 7 quality targets that can be measured offline (routing counted once). The two misses (refusal correctness and consistency) are labeling and stability issues rather than wrong facts, with one important exception (K1, below).</w:t>
      </w:r>
    </w:p>
    <w:p>
      <w:pPr>
        <w:spacing w:after="120"/>
      </w:pPr>
      <w:r>
        <w:rPr>
          <w:b/>
          <w:bCs/>
        </w:rPr>
        <w:t xml:space="preserve">Recommendation: conditional go for shadow mode. </w:t>
      </w:r>
      <w:r>
        <w:t xml:space="preserve">1 of 4 entry gates is met. Enter shadow mode once the remaining three are complete; none requires new engineering, but one depends on the policy owner (D1).</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4200"/>
        <w:gridCol w:w="1300"/>
        <w:gridCol w:w="3860"/>
      </w:tblGrid>
      <w:tr>
        <w:trPr>
          <w:tblHeader/>
        </w:trPr>
        <w:tc>
          <w:tcPr>
            <w:tcW w:w="4200" w:type="dxa"/>
            <w:shd w:val="clear" w:color="auto" w:fill="E8EEF4"/>
          </w:tcPr>
          <w:p>
            <w:pPr>
              <w:spacing w:after="0" w:line="240" w:lineRule="auto"/>
            </w:pPr>
            <w:r>
              <w:rPr>
                <w:b/>
                <w:bCs/>
                <w:sz w:val="19"/>
                <w:szCs w:val="19"/>
              </w:rPr>
              <w:t xml:space="preserve">Shadow-mode gate</w:t>
            </w:r>
          </w:p>
        </w:tc>
        <w:tc>
          <w:tcPr>
            <w:tcW w:w="1300" w:type="dxa"/>
            <w:shd w:val="clear" w:color="auto" w:fill="E8EEF4"/>
          </w:tcPr>
          <w:p>
            <w:pPr>
              <w:spacing w:after="0" w:line="240" w:lineRule="auto"/>
            </w:pPr>
            <w:r>
              <w:rPr>
                <w:b/>
                <w:bCs/>
                <w:sz w:val="19"/>
                <w:szCs w:val="19"/>
              </w:rPr>
              <w:t xml:space="preserve">Status</w:t>
            </w:r>
          </w:p>
        </w:tc>
        <w:tc>
          <w:tcPr>
            <w:tcW w:w="3860" w:type="dxa"/>
            <w:shd w:val="clear" w:color="auto" w:fill="E8EEF4"/>
          </w:tcPr>
          <w:p>
            <w:pPr>
              <w:spacing w:after="0" w:line="240" w:lineRule="auto"/>
            </w:pPr>
            <w:r>
              <w:rPr>
                <w:b/>
                <w:bCs/>
                <w:sz w:val="19"/>
                <w:szCs w:val="19"/>
              </w:rPr>
              <w:t xml:space="preserve">Note</w:t>
            </w:r>
          </w:p>
        </w:tc>
      </w:tr>
      <w:tr>
        <w:trPr>
          <w:cantSplit/>
        </w:trPr>
        <w:tc>
          <w:tcPr>
            <w:tcW w:w="4200" w:type="dxa"/>
          </w:tcPr>
          <w:p>
            <w:pPr>
              <w:spacing w:after="0" w:line="240" w:lineRule="auto"/>
            </w:pPr>
            <w:r>
              <w:rPr>
                <w:sz w:val="19"/>
                <w:szCs w:val="19"/>
              </w:rPr>
              <w:t xml:space="preserve">K1 content fixed (Essential Plus coverage defined)</w:t>
            </w:r>
          </w:p>
        </w:tc>
        <w:tc>
          <w:tcPr>
            <w:tcW w:w="1300" w:type="dxa"/>
          </w:tcPr>
          <w:p>
            <w:pPr>
              <w:spacing w:after="0" w:line="240" w:lineRule="auto"/>
            </w:pPr>
            <w:r>
              <w:rPr>
                <w:sz w:val="19"/>
                <w:szCs w:val="19"/>
              </w:rPr>
              <w:t xml:space="preserve">Not met</w:t>
            </w:r>
          </w:p>
        </w:tc>
        <w:tc>
          <w:tcPr>
            <w:tcW w:w="3860" w:type="dxa"/>
          </w:tcPr>
          <w:p>
            <w:pPr>
              <w:spacing w:after="0" w:line="240" w:lineRule="auto"/>
            </w:pPr>
            <w:r>
              <w:rPr>
                <w:sz w:val="19"/>
                <w:szCs w:val="19"/>
              </w:rPr>
              <w:t xml:space="preserve">Depends on D1 / OD1</w:t>
            </w:r>
          </w:p>
        </w:tc>
      </w:tr>
      <w:tr>
        <w:trPr>
          <w:cantSplit/>
        </w:trPr>
        <w:tc>
          <w:tcPr>
            <w:tcW w:w="4200" w:type="dxa"/>
          </w:tcPr>
          <w:p>
            <w:pPr>
              <w:spacing w:after="0" w:line="240" w:lineRule="auto"/>
            </w:pPr>
            <w:r>
              <w:rPr>
                <w:sz w:val="19"/>
                <w:szCs w:val="19"/>
              </w:rPr>
              <w:t xml:space="preserve">K2 stale-index warning live</w:t>
            </w:r>
          </w:p>
        </w:tc>
        <w:tc>
          <w:tcPr>
            <w:tcW w:w="1300" w:type="dxa"/>
          </w:tcPr>
          <w:p>
            <w:pPr>
              <w:spacing w:after="0" w:line="240" w:lineRule="auto"/>
            </w:pPr>
            <w:r>
              <w:rPr>
                <w:sz w:val="19"/>
                <w:szCs w:val="19"/>
              </w:rPr>
              <w:t xml:space="preserve">Met</w:t>
            </w:r>
          </w:p>
        </w:tc>
        <w:tc>
          <w:tcPr>
            <w:tcW w:w="3860" w:type="dxa"/>
          </w:tcPr>
          <w:p>
            <w:pPr>
              <w:spacing w:after="0" w:line="240" w:lineRule="auto"/>
            </w:pPr>
            <w:r>
              <w:rPr>
                <w:sz w:val="19"/>
                <w:szCs w:val="19"/>
              </w:rPr>
              <w:t xml:space="preserve">Startup warning shipped</w:t>
            </w:r>
          </w:p>
        </w:tc>
      </w:tr>
      <w:tr>
        <w:trPr>
          <w:cantSplit/>
        </w:trPr>
        <w:tc>
          <w:tcPr>
            <w:tcW w:w="4200" w:type="dxa"/>
          </w:tcPr>
          <w:p>
            <w:pPr>
              <w:spacing w:after="0" w:line="240" w:lineRule="auto"/>
            </w:pPr>
            <w:r>
              <w:rPr>
                <w:sz w:val="19"/>
                <w:szCs w:val="19"/>
              </w:rPr>
              <w:t xml:space="preserve">Zero confident-wrong answers across 3 runs</w:t>
            </w:r>
          </w:p>
        </w:tc>
        <w:tc>
          <w:tcPr>
            <w:tcW w:w="1300" w:type="dxa"/>
          </w:tcPr>
          <w:p>
            <w:pPr>
              <w:spacing w:after="0" w:line="240" w:lineRule="auto"/>
            </w:pPr>
            <w:r>
              <w:rPr>
                <w:sz w:val="19"/>
                <w:szCs w:val="19"/>
              </w:rPr>
              <w:t xml:space="preserve">Not met</w:t>
            </w:r>
          </w:p>
        </w:tc>
        <w:tc>
          <w:tcPr>
            <w:tcW w:w="3860" w:type="dxa"/>
          </w:tcPr>
          <w:p>
            <w:pPr>
              <w:spacing w:after="0" w:line="240" w:lineRule="auto"/>
            </w:pPr>
            <w:r>
              <w:rPr>
                <w:sz w:val="19"/>
                <w:szCs w:val="19"/>
              </w:rPr>
              <w:t xml:space="preserve">O03 fails consistently until K1 content fix</w:t>
            </w:r>
          </w:p>
        </w:tc>
      </w:tr>
      <w:tr>
        <w:trPr>
          <w:cantSplit/>
        </w:trPr>
        <w:tc>
          <w:tcPr>
            <w:tcW w:w="4200" w:type="dxa"/>
          </w:tcPr>
          <w:p>
            <w:pPr>
              <w:spacing w:after="0" w:line="240" w:lineRule="auto"/>
            </w:pPr>
            <w:r>
              <w:rPr>
                <w:sz w:val="19"/>
                <w:szCs w:val="19"/>
              </w:rPr>
              <w:t xml:space="preserve">Manual review of judged answers</w:t>
            </w:r>
          </w:p>
        </w:tc>
        <w:tc>
          <w:tcPr>
            <w:tcW w:w="1300" w:type="dxa"/>
          </w:tcPr>
          <w:p>
            <w:pPr>
              <w:spacing w:after="0" w:line="240" w:lineRule="auto"/>
            </w:pPr>
            <w:r>
              <w:rPr>
                <w:sz w:val="19"/>
                <w:szCs w:val="19"/>
              </w:rPr>
              <w:t xml:space="preserve">Not met</w:t>
            </w:r>
          </w:p>
        </w:tc>
        <w:tc>
          <w:tcPr>
            <w:tcW w:w="3860" w:type="dxa"/>
          </w:tcPr>
          <w:p>
            <w:pPr>
              <w:spacing w:after="0" w:line="240" w:lineRule="auto"/>
            </w:pPr>
            <w:r>
              <w:rPr>
                <w:sz w:val="19"/>
                <w:szCs w:val="19"/>
              </w:rPr>
              <w:t xml:space="preserve">≈10 minutes; to do before sign-off</w:t>
            </w:r>
          </w:p>
        </w:tc>
      </w:tr>
    </w:tbl>
    <w:p>
      <w:pPr>
        <w:spacing w:after="0"/>
      </w:pPr>
    </w:p>
    <w:p>
      <w:pPr>
        <w:spacing w:after="120"/>
      </w:pPr>
      <w:r>
        <w:rPr>
          <w:b/>
          <w:bCs/>
        </w:rPr>
        <w:t xml:space="preserve">Decisions requested at this review: </w:t>
      </w:r>
      <w:r>
        <w:t xml:space="preserve">(1) approve the conditional go; (2) approve the revised refusal target, ≥95% with human review of every refusal and conflict (OD7); (3) assign owners for OD1 (Essential Plus coverage) and OD6 (knowledge base ownership).</w:t>
      </w:r>
    </w:p>
    <w:p>
      <w:pPr>
        <w:pStyle w:val="Heading1"/>
      </w:pPr>
      <w:r>
        <w:t xml:space="preserve">Scope: Planned vs Delivered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900"/>
        <w:gridCol w:w="1200"/>
        <w:gridCol w:w="5260"/>
      </w:tblGrid>
      <w:tr>
        <w:trPr>
          <w:tblHeader/>
        </w:trPr>
        <w:tc>
          <w:tcPr>
            <w:tcW w:w="2900" w:type="dxa"/>
            <w:shd w:val="clear" w:color="auto" w:fill="E8EEF4"/>
          </w:tcPr>
          <w:p>
            <w:pPr>
              <w:spacing w:after="0" w:line="240" w:lineRule="auto"/>
            </w:pPr>
            <w:r>
              <w:rPr>
                <w:b/>
                <w:bCs/>
                <w:sz w:val="19"/>
                <w:szCs w:val="19"/>
              </w:rPr>
              <w:t xml:space="preserve">Planned (PRD in-scope)</w:t>
            </w:r>
          </w:p>
        </w:tc>
        <w:tc>
          <w:tcPr>
            <w:tcW w:w="1200" w:type="dxa"/>
            <w:shd w:val="clear" w:color="auto" w:fill="E8EEF4"/>
          </w:tcPr>
          <w:p>
            <w:pPr>
              <w:spacing w:after="0" w:line="240" w:lineRule="auto"/>
            </w:pPr>
            <w:r>
              <w:rPr>
                <w:b/>
                <w:bCs/>
                <w:sz w:val="19"/>
                <w:szCs w:val="19"/>
              </w:rPr>
              <w:t xml:space="preserve">Delivered</w:t>
            </w:r>
          </w:p>
        </w:tc>
        <w:tc>
          <w:tcPr>
            <w:tcW w:w="5260" w:type="dxa"/>
            <w:shd w:val="clear" w:color="auto" w:fill="E8EEF4"/>
          </w:tcPr>
          <w:p>
            <w:pPr>
              <w:spacing w:after="0" w:line="240" w:lineRule="auto"/>
            </w:pPr>
            <w:r>
              <w:rPr>
                <w:b/>
                <w:bCs/>
                <w:sz w:val="19"/>
                <w:szCs w:val="19"/>
              </w:rPr>
              <w:t xml:space="preserve">Notes</w:t>
            </w:r>
          </w:p>
        </w:tc>
      </w:tr>
      <w:tr>
        <w:trPr>
          <w:cantSplit/>
        </w:trPr>
        <w:tc>
          <w:tcPr>
            <w:tcW w:w="2900" w:type="dxa"/>
          </w:tcPr>
          <w:p>
            <w:pPr>
              <w:spacing w:after="0" w:line="240" w:lineRule="auto"/>
            </w:pPr>
            <w:r>
              <w:rPr>
                <w:sz w:val="19"/>
                <w:szCs w:val="19"/>
              </w:rPr>
              <w:t xml:space="preserve">Static knowledge Q&amp;A via RAG</w:t>
            </w:r>
          </w:p>
        </w:tc>
        <w:tc>
          <w:tcPr>
            <w:tcW w:w="1200" w:type="dxa"/>
          </w:tcPr>
          <w:p>
            <w:pPr>
              <w:spacing w:after="0" w:line="240" w:lineRule="auto"/>
            </w:pPr>
            <w:r>
              <w:rPr>
                <w:sz w:val="19"/>
                <w:szCs w:val="19"/>
              </w:rPr>
              <w:t xml:space="preserve">✅</w:t>
            </w:r>
          </w:p>
        </w:tc>
        <w:tc>
          <w:tcPr>
            <w:tcW w:w="5260" w:type="dxa"/>
          </w:tcPr>
          <w:p>
            <w:pPr>
              <w:spacing w:after="0" w:line="240" w:lineRule="auto"/>
            </w:pPr>
            <w:r>
              <w:rPr>
                <w:sz w:val="19"/>
                <w:szCs w:val="19"/>
              </w:rPr>
              <w:t xml:space="preserve">Vector search; cited answers with answered / refused / conflict status</w:t>
            </w:r>
          </w:p>
        </w:tc>
      </w:tr>
      <w:tr>
        <w:trPr>
          <w:cantSplit/>
        </w:trPr>
        <w:tc>
          <w:tcPr>
            <w:tcW w:w="2900" w:type="dxa"/>
          </w:tcPr>
          <w:p>
            <w:pPr>
              <w:spacing w:after="0" w:line="240" w:lineRule="auto"/>
            </w:pPr>
            <w:r>
              <w:rPr>
                <w:sz w:val="19"/>
                <w:szCs w:val="19"/>
              </w:rPr>
              <w:t xml:space="preserve">Real-time Q&amp;A (stock, orders)</w:t>
            </w:r>
          </w:p>
        </w:tc>
        <w:tc>
          <w:tcPr>
            <w:tcW w:w="1200" w:type="dxa"/>
          </w:tcPr>
          <w:p>
            <w:pPr>
              <w:spacing w:after="0" w:line="240" w:lineRule="auto"/>
            </w:pPr>
            <w:r>
              <w:rPr>
                <w:sz w:val="19"/>
                <w:szCs w:val="19"/>
              </w:rPr>
              <w:t xml:space="preserve">✅</w:t>
            </w:r>
          </w:p>
        </w:tc>
        <w:tc>
          <w:tcPr>
            <w:tcW w:w="5260" w:type="dxa"/>
          </w:tcPr>
          <w:p>
            <w:pPr>
              <w:spacing w:after="0" w:line="240" w:lineRule="auto"/>
            </w:pPr>
            <w:r>
              <w:rPr>
                <w:sz w:val="19"/>
                <w:szCs w:val="19"/>
              </w:rPr>
              <w:t xml:space="preserve">Template answers, no LLM, exact numbers; mock APIs with failure simulation</w:t>
            </w:r>
          </w:p>
        </w:tc>
      </w:tr>
      <w:tr>
        <w:trPr>
          <w:cantSplit/>
        </w:trPr>
        <w:tc>
          <w:tcPr>
            <w:tcW w:w="2900" w:type="dxa"/>
          </w:tcPr>
          <w:p>
            <w:pPr>
              <w:spacing w:after="0" w:line="240" w:lineRule="auto"/>
            </w:pPr>
            <w:r>
              <w:rPr>
                <w:sz w:val="19"/>
                <w:szCs w:val="19"/>
              </w:rPr>
              <w:t xml:space="preserve">Routing incl. hybrid queries</w:t>
            </w:r>
          </w:p>
        </w:tc>
        <w:tc>
          <w:tcPr>
            <w:tcW w:w="1200" w:type="dxa"/>
          </w:tcPr>
          <w:p>
            <w:pPr>
              <w:spacing w:after="0" w:line="240" w:lineRule="auto"/>
            </w:pPr>
            <w:r>
              <w:rPr>
                <w:sz w:val="19"/>
                <w:szCs w:val="19"/>
              </w:rPr>
              <w:t xml:space="preserve">✅</w:t>
            </w:r>
          </w:p>
        </w:tc>
        <w:tc>
          <w:tcPr>
            <w:tcW w:w="5260" w:type="dxa"/>
          </w:tcPr>
          <w:p>
            <w:pPr>
              <w:spacing w:after="0" w:line="240" w:lineRule="auto"/>
            </w:pPr>
            <w:r>
              <w:rPr>
                <w:sz w:val="19"/>
                <w:szCs w:val="19"/>
              </w:rPr>
              <w:t xml:space="preserve">Tiered router (rules fast path + LLM intent + rules fallback)</w:t>
            </w:r>
          </w:p>
        </w:tc>
      </w:tr>
      <w:tr>
        <w:trPr>
          <w:cantSplit/>
        </w:trPr>
        <w:tc>
          <w:tcPr>
            <w:tcW w:w="2900" w:type="dxa"/>
          </w:tcPr>
          <w:p>
            <w:pPr>
              <w:spacing w:after="0" w:line="240" w:lineRule="auto"/>
            </w:pPr>
            <w:r>
              <w:rPr>
                <w:sz w:val="19"/>
                <w:szCs w:val="19"/>
              </w:rPr>
              <w:t xml:space="preserve">Clarification for missing IDs</w:t>
            </w:r>
          </w:p>
        </w:tc>
        <w:tc>
          <w:tcPr>
            <w:tcW w:w="1200" w:type="dxa"/>
          </w:tcPr>
          <w:p>
            <w:pPr>
              <w:spacing w:after="0" w:line="240" w:lineRule="auto"/>
            </w:pPr>
            <w:r>
              <w:rPr>
                <w:sz w:val="19"/>
                <w:szCs w:val="19"/>
              </w:rPr>
              <w:t xml:space="preserve">✅</w:t>
            </w:r>
          </w:p>
        </w:tc>
        <w:tc>
          <w:tcPr>
            <w:tcW w:w="5260" w:type="dxa"/>
          </w:tcPr>
          <w:p>
            <w:pPr>
              <w:spacing w:after="0" w:line="240" w:lineRule="auto"/>
            </w:pPr>
            <w:r>
              <w:rPr>
                <w:sz w:val="19"/>
                <w:szCs w:val="19"/>
              </w:rPr>
              <w:t xml:space="preserve">Plus follow-up resolution: “BRK-1020”, “the left one”, “10482”</w:t>
            </w:r>
          </w:p>
        </w:tc>
      </w:tr>
      <w:tr>
        <w:trPr>
          <w:cantSplit/>
        </w:trPr>
        <w:tc>
          <w:tcPr>
            <w:tcW w:w="2900" w:type="dxa"/>
          </w:tcPr>
          <w:p>
            <w:pPr>
              <w:spacing w:after="0" w:line="240" w:lineRule="auto"/>
            </w:pPr>
            <w:r>
              <w:rPr>
                <w:sz w:val="19"/>
                <w:szCs w:val="19"/>
              </w:rPr>
              <w:t xml:space="preserve">Source citations</w:t>
            </w:r>
          </w:p>
        </w:tc>
        <w:tc>
          <w:tcPr>
            <w:tcW w:w="1200" w:type="dxa"/>
          </w:tcPr>
          <w:p>
            <w:pPr>
              <w:spacing w:after="0" w:line="240" w:lineRule="auto"/>
            </w:pPr>
            <w:r>
              <w:rPr>
                <w:sz w:val="19"/>
                <w:szCs w:val="19"/>
              </w:rPr>
              <w:t xml:space="preserve">✅</w:t>
            </w:r>
          </w:p>
        </w:tc>
        <w:tc>
          <w:tcPr>
            <w:tcW w:w="5260" w:type="dxa"/>
          </w:tcPr>
          <w:p>
            <w:pPr>
              <w:spacing w:after="0" w:line="240" w:lineRule="auto"/>
            </w:pPr>
            <w:r>
              <w:rPr>
                <w:sz w:val="19"/>
                <w:szCs w:val="19"/>
              </w:rPr>
              <w:t xml:space="preserve">100% coverage; invalid citations dropped in code</w:t>
            </w:r>
          </w:p>
        </w:tc>
      </w:tr>
      <w:tr>
        <w:trPr>
          <w:cantSplit/>
        </w:trPr>
        <w:tc>
          <w:tcPr>
            <w:tcW w:w="2900" w:type="dxa"/>
          </w:tcPr>
          <w:p>
            <w:pPr>
              <w:spacing w:after="0" w:line="240" w:lineRule="auto"/>
            </w:pPr>
            <w:r>
              <w:rPr>
                <w:sz w:val="19"/>
                <w:szCs w:val="19"/>
              </w:rPr>
              <w:t xml:space="preserve">Hallucination guardrails</w:t>
            </w:r>
          </w:p>
        </w:tc>
        <w:tc>
          <w:tcPr>
            <w:tcW w:w="1200" w:type="dxa"/>
          </w:tcPr>
          <w:p>
            <w:pPr>
              <w:spacing w:after="0" w:line="240" w:lineRule="auto"/>
            </w:pPr>
            <w:r>
              <w:rPr>
                <w:sz w:val="19"/>
                <w:szCs w:val="19"/>
              </w:rPr>
              <w:t xml:space="preserve">✅ partial</w:t>
            </w:r>
          </w:p>
        </w:tc>
        <w:tc>
          <w:tcPr>
            <w:tcW w:w="5260" w:type="dxa"/>
          </w:tcPr>
          <w:p>
            <w:pPr>
              <w:spacing w:after="0" w:line="240" w:lineRule="auto"/>
            </w:pPr>
            <w:r>
              <w:rPr>
                <w:sz w:val="19"/>
                <w:szCs w:val="19"/>
              </w:rPr>
              <w:t xml:space="preserve">Refusals and conflict flags work; scope inference remains (K1)</w:t>
            </w:r>
          </w:p>
        </w:tc>
      </w:tr>
      <w:tr>
        <w:trPr>
          <w:cantSplit/>
        </w:trPr>
        <w:tc>
          <w:tcPr>
            <w:tcW w:w="2900" w:type="dxa"/>
          </w:tcPr>
          <w:p>
            <w:pPr>
              <w:spacing w:after="0" w:line="240" w:lineRule="auto"/>
            </w:pPr>
            <w:r>
              <w:rPr>
                <w:sz w:val="19"/>
                <w:szCs w:val="19"/>
              </w:rPr>
              <w:t xml:space="preserve">Logging and feedback</w:t>
            </w:r>
          </w:p>
        </w:tc>
        <w:tc>
          <w:tcPr>
            <w:tcW w:w="1200" w:type="dxa"/>
          </w:tcPr>
          <w:p>
            <w:pPr>
              <w:spacing w:after="0" w:line="240" w:lineRule="auto"/>
            </w:pPr>
            <w:r>
              <w:rPr>
                <w:sz w:val="19"/>
                <w:szCs w:val="19"/>
              </w:rPr>
              <w:t xml:space="preserve">✅</w:t>
            </w:r>
          </w:p>
        </w:tc>
        <w:tc>
          <w:tcPr>
            <w:tcW w:w="5260" w:type="dxa"/>
          </w:tcPr>
          <w:p>
            <w:pPr>
              <w:spacing w:after="0" w:line="240" w:lineRule="auto"/>
            </w:pPr>
            <w:r>
              <w:rPr>
                <w:sz w:val="19"/>
                <w:szCs w:val="19"/>
              </w:rPr>
              <w:t xml:space="preserve">Route, decider, sources, status, tokens, latency; 👍/👎</w:t>
            </w:r>
          </w:p>
        </w:tc>
      </w:tr>
    </w:tbl>
    <w:p>
      <w:pPr>
        <w:spacing w:after="0"/>
      </w:pPr>
    </w:p>
    <w:p>
      <w:pPr>
        <w:spacing w:after="120"/>
      </w:pPr>
      <w:r>
        <w:rPr>
          <w:b/>
          <w:bCs/>
        </w:rPr>
        <w:t xml:space="preserve">Delivered beyond plan: </w:t>
      </w:r>
      <w:r>
        <w:t xml:space="preserve">rules / LLM / tiered router comparison with cost tracking; three-way retrieval comparison; answer evaluation with an LLM judge and repeat-run consistency; stale-index warning; 167 automated tests that never call the cloud.</w:t>
      </w:r>
    </w:p>
    <w:p>
      <w:pPr>
        <w:spacing w:after="120"/>
      </w:pPr>
      <w:r>
        <w:rPr>
          <w:b/>
          <w:bCs/>
        </w:rPr>
        <w:t xml:space="preserve">Deferred, with reason: </w:t>
      </w:r>
      <w:r>
        <w:t xml:space="preserve">answerability check, automatic re-ingest and an independent test set (v1.1, mitigations for K1–K5); public demo deployment (optional); handle-time measurement (needs real agents, shadow mode); multi-turn memory (out of scope by design, v2).</w:t>
      </w:r>
    </w:p>
    <w:p>
      <w:pPr>
        <w:pStyle w:val="Heading1"/>
      </w:pPr>
      <w:r>
        <w:t xml:space="preserve">Results vs Targets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200"/>
        <w:gridCol w:w="1100"/>
        <w:gridCol w:w="3360"/>
        <w:gridCol w:w="1700"/>
      </w:tblGrid>
      <w:tr>
        <w:trPr>
          <w:tblHeader/>
        </w:trPr>
        <w:tc>
          <w:tcPr>
            <w:tcW w:w="3200" w:type="dxa"/>
            <w:shd w:val="clear" w:color="auto" w:fill="E8EEF4"/>
          </w:tcPr>
          <w:p>
            <w:pPr>
              <w:spacing w:after="0" w:line="240" w:lineRule="auto"/>
            </w:pPr>
            <w:r>
              <w:rPr>
                <w:b/>
                <w:bCs/>
                <w:sz w:val="19"/>
                <w:szCs w:val="19"/>
              </w:rPr>
              <w:t xml:space="preserve">Metric</w:t>
            </w:r>
          </w:p>
        </w:tc>
        <w:tc>
          <w:tcPr>
            <w:tcW w:w="1100" w:type="dxa"/>
            <w:shd w:val="clear" w:color="auto" w:fill="E8EEF4"/>
          </w:tcPr>
          <w:p>
            <w:pPr>
              <w:spacing w:after="0" w:line="240" w:lineRule="auto"/>
            </w:pPr>
            <w:r>
              <w:rPr>
                <w:b/>
                <w:bCs/>
                <w:sz w:val="19"/>
                <w:szCs w:val="19"/>
              </w:rPr>
              <w:t xml:space="preserve">Target</w:t>
            </w:r>
          </w:p>
        </w:tc>
        <w:tc>
          <w:tcPr>
            <w:tcW w:w="3360" w:type="dxa"/>
            <w:shd w:val="clear" w:color="auto" w:fill="E8EEF4"/>
          </w:tcPr>
          <w:p>
            <w:pPr>
              <w:spacing w:after="0" w:line="240" w:lineRule="auto"/>
            </w:pPr>
            <w:r>
              <w:rPr>
                <w:b/>
                <w:bCs/>
                <w:sz w:val="19"/>
                <w:szCs w:val="19"/>
              </w:rPr>
              <w:t xml:space="preserve">v1.0</w:t>
            </w:r>
          </w:p>
        </w:tc>
        <w:tc>
          <w:tcPr>
            <w:tcW w:w="1700" w:type="dxa"/>
            <w:shd w:val="clear" w:color="auto" w:fill="E8EEF4"/>
          </w:tcPr>
          <w:p>
            <w:pPr>
              <w:spacing w:after="0" w:line="240" w:lineRule="auto"/>
            </w:pPr>
            <w:r>
              <w:rPr>
                <w:b/>
                <w:bCs/>
                <w:sz w:val="19"/>
                <w:szCs w:val="19"/>
              </w:rPr>
              <w:t xml:space="preserve">Status</w:t>
            </w:r>
          </w:p>
        </w:tc>
      </w:tr>
      <w:tr>
        <w:trPr>
          <w:cantSplit/>
        </w:trPr>
        <w:tc>
          <w:tcPr>
            <w:tcW w:w="3200" w:type="dxa"/>
          </w:tcPr>
          <w:p>
            <w:pPr>
              <w:spacing w:after="0" w:line="240" w:lineRule="auto"/>
            </w:pPr>
            <w:r>
              <w:rPr>
                <w:sz w:val="19"/>
                <w:szCs w:val="19"/>
              </w:rPr>
              <w:t xml:space="preserve">Retrieval relevance (doc hit@3)</w:t>
            </w:r>
          </w:p>
        </w:tc>
        <w:tc>
          <w:tcPr>
            <w:tcW w:w="1100" w:type="dxa"/>
          </w:tcPr>
          <w:p>
            <w:pPr>
              <w:spacing w:after="0" w:line="240" w:lineRule="auto"/>
            </w:pPr>
            <w:r>
              <w:rPr>
                <w:sz w:val="19"/>
                <w:szCs w:val="19"/>
              </w:rPr>
              <w:t xml:space="preserve">≥80%</w:t>
            </w:r>
          </w:p>
        </w:tc>
        <w:tc>
          <w:tcPr>
            <w:tcW w:w="3360" w:type="dxa"/>
          </w:tcPr>
          <w:p>
            <w:pPr>
              <w:spacing w:after="0" w:line="240" w:lineRule="auto"/>
            </w:pPr>
            <w:r>
              <w:rPr>
                <w:sz w:val="19"/>
                <w:szCs w:val="19"/>
              </w:rPr>
              <w:t xml:space="preserve">100% (vector, 22 queries)</w:t>
            </w:r>
          </w:p>
        </w:tc>
        <w:tc>
          <w:tcPr>
            <w:tcW w:w="1700" w:type="dxa"/>
          </w:tcPr>
          <w:p>
            <w:pPr>
              <w:spacing w:after="0" w:line="240" w:lineRule="auto"/>
            </w:pPr>
            <w:r>
              <w:rPr>
                <w:sz w:val="19"/>
                <w:szCs w:val="19"/>
              </w:rPr>
              <w:t xml:space="preserve">Met</w:t>
            </w:r>
          </w:p>
        </w:tc>
      </w:tr>
      <w:tr>
        <w:trPr>
          <w:cantSplit/>
        </w:trPr>
        <w:tc>
          <w:tcPr>
            <w:tcW w:w="3200" w:type="dxa"/>
          </w:tcPr>
          <w:p>
            <w:pPr>
              <w:spacing w:after="0" w:line="240" w:lineRule="auto"/>
            </w:pPr>
            <w:r>
              <w:rPr>
                <w:sz w:val="19"/>
                <w:szCs w:val="19"/>
              </w:rPr>
              <w:t xml:space="preserve">Routing accuracy, main / held-out</w:t>
            </w:r>
          </w:p>
        </w:tc>
        <w:tc>
          <w:tcPr>
            <w:tcW w:w="1100" w:type="dxa"/>
          </w:tcPr>
          <w:p>
            <w:pPr>
              <w:spacing w:after="0" w:line="240" w:lineRule="auto"/>
            </w:pPr>
            <w:r>
              <w:rPr>
                <w:sz w:val="19"/>
                <w:szCs w:val="19"/>
              </w:rPr>
              <w:t xml:space="preserve">≥90%</w:t>
            </w:r>
          </w:p>
        </w:tc>
        <w:tc>
          <w:tcPr>
            <w:tcW w:w="3360" w:type="dxa"/>
          </w:tcPr>
          <w:p>
            <w:pPr>
              <w:spacing w:after="0" w:line="240" w:lineRule="auto"/>
            </w:pPr>
            <w:r>
              <w:rPr>
                <w:sz w:val="19"/>
                <w:szCs w:val="19"/>
              </w:rPr>
              <w:t xml:space="preserve">100% (42/42) / 100% (15/15); rules 80% held-out</w:t>
            </w:r>
          </w:p>
        </w:tc>
        <w:tc>
          <w:tcPr>
            <w:tcW w:w="1700" w:type="dxa"/>
          </w:tcPr>
          <w:p>
            <w:pPr>
              <w:spacing w:after="0" w:line="240" w:lineRule="auto"/>
            </w:pPr>
            <w:r>
              <w:rPr>
                <w:sz w:val="19"/>
                <w:szCs w:val="19"/>
              </w:rPr>
              <w:t xml:space="preserve">Met</w:t>
            </w:r>
          </w:p>
        </w:tc>
      </w:tr>
      <w:tr>
        <w:trPr>
          <w:cantSplit/>
        </w:trPr>
        <w:tc>
          <w:tcPr>
            <w:tcW w:w="3200" w:type="dxa"/>
          </w:tcPr>
          <w:p>
            <w:pPr>
              <w:spacing w:after="0" w:line="240" w:lineRule="auto"/>
            </w:pPr>
            <w:r>
              <w:rPr>
                <w:sz w:val="19"/>
                <w:szCs w:val="19"/>
              </w:rPr>
              <w:t xml:space="preserve">Answer correctness</w:t>
            </w:r>
          </w:p>
        </w:tc>
        <w:tc>
          <w:tcPr>
            <w:tcW w:w="1100" w:type="dxa"/>
          </w:tcPr>
          <w:p>
            <w:pPr>
              <w:spacing w:after="0" w:line="240" w:lineRule="auto"/>
            </w:pPr>
            <w:r>
              <w:rPr>
                <w:sz w:val="19"/>
                <w:szCs w:val="19"/>
              </w:rPr>
              <w:t xml:space="preserve">≥85%</w:t>
            </w:r>
          </w:p>
        </w:tc>
        <w:tc>
          <w:tcPr>
            <w:tcW w:w="3360" w:type="dxa"/>
          </w:tcPr>
          <w:p>
            <w:pPr>
              <w:spacing w:after="0" w:line="240" w:lineRule="auto"/>
            </w:pPr>
            <w:r>
              <w:rPr>
                <w:sz w:val="19"/>
                <w:szCs w:val="19"/>
              </w:rPr>
              <w:t xml:space="preserve">96% (LLM-judged)</w:t>
            </w:r>
          </w:p>
        </w:tc>
        <w:tc>
          <w:tcPr>
            <w:tcW w:w="1700" w:type="dxa"/>
          </w:tcPr>
          <w:p>
            <w:pPr>
              <w:spacing w:after="0" w:line="240" w:lineRule="auto"/>
            </w:pPr>
            <w:r>
              <w:rPr>
                <w:sz w:val="19"/>
                <w:szCs w:val="19"/>
              </w:rPr>
              <w:t xml:space="preserve">Met</w:t>
            </w:r>
          </w:p>
        </w:tc>
      </w:tr>
      <w:tr>
        <w:trPr>
          <w:cantSplit/>
        </w:trPr>
        <w:tc>
          <w:tcPr>
            <w:tcW w:w="3200" w:type="dxa"/>
          </w:tcPr>
          <w:p>
            <w:pPr>
              <w:spacing w:after="0" w:line="240" w:lineRule="auto"/>
            </w:pPr>
            <w:r>
              <w:rPr>
                <w:sz w:val="19"/>
                <w:szCs w:val="19"/>
              </w:rPr>
              <w:t xml:space="preserve">Citation coverage</w:t>
            </w:r>
          </w:p>
        </w:tc>
        <w:tc>
          <w:tcPr>
            <w:tcW w:w="1100" w:type="dxa"/>
          </w:tcPr>
          <w:p>
            <w:pPr>
              <w:spacing w:after="0" w:line="240" w:lineRule="auto"/>
            </w:pPr>
            <w:r>
              <w:rPr>
                <w:sz w:val="19"/>
                <w:szCs w:val="19"/>
              </w:rPr>
              <w:t xml:space="preserve">100%</w:t>
            </w:r>
          </w:p>
        </w:tc>
        <w:tc>
          <w:tcPr>
            <w:tcW w:w="3360" w:type="dxa"/>
          </w:tcPr>
          <w:p>
            <w:pPr>
              <w:spacing w:after="0" w:line="240" w:lineRule="auto"/>
            </w:pPr>
            <w:r>
              <w:rPr>
                <w:sz w:val="19"/>
                <w:szCs w:val="19"/>
              </w:rPr>
              <w:t xml:space="preserve">100%</w:t>
            </w:r>
          </w:p>
        </w:tc>
        <w:tc>
          <w:tcPr>
            <w:tcW w:w="1700" w:type="dxa"/>
          </w:tcPr>
          <w:p>
            <w:pPr>
              <w:spacing w:after="0" w:line="240" w:lineRule="auto"/>
            </w:pPr>
            <w:r>
              <w:rPr>
                <w:sz w:val="19"/>
                <w:szCs w:val="19"/>
              </w:rPr>
              <w:t xml:space="preserve">Met</w:t>
            </w:r>
          </w:p>
        </w:tc>
      </w:tr>
      <w:tr>
        <w:trPr>
          <w:cantSplit/>
        </w:trPr>
        <w:tc>
          <w:tcPr>
            <w:tcW w:w="3200" w:type="dxa"/>
          </w:tcPr>
          <w:p>
            <w:pPr>
              <w:spacing w:after="0" w:line="240" w:lineRule="auto"/>
            </w:pPr>
            <w:r>
              <w:rPr>
                <w:sz w:val="19"/>
                <w:szCs w:val="19"/>
              </w:rPr>
              <w:t xml:space="preserve">Conflicts flagged</w:t>
            </w:r>
          </w:p>
        </w:tc>
        <w:tc>
          <w:tcPr>
            <w:tcW w:w="1100" w:type="dxa"/>
          </w:tcPr>
          <w:p>
            <w:pPr>
              <w:spacing w:after="0" w:line="240" w:lineRule="auto"/>
            </w:pPr>
            <w:r>
              <w:rPr>
                <w:sz w:val="19"/>
                <w:szCs w:val="19"/>
              </w:rPr>
              <w:t xml:space="preserve">—</w:t>
            </w:r>
          </w:p>
        </w:tc>
        <w:tc>
          <w:tcPr>
            <w:tcW w:w="3360" w:type="dxa"/>
          </w:tcPr>
          <w:p>
            <w:pPr>
              <w:spacing w:after="0" w:line="240" w:lineRule="auto"/>
            </w:pPr>
            <w:r>
              <w:rPr>
                <w:sz w:val="19"/>
                <w:szCs w:val="19"/>
              </w:rPr>
              <w:t xml:space="preserve">2 / 2</w:t>
            </w:r>
          </w:p>
        </w:tc>
        <w:tc>
          <w:tcPr>
            <w:tcW w:w="1700" w:type="dxa"/>
          </w:tcPr>
          <w:p>
            <w:pPr>
              <w:spacing w:after="0" w:line="240" w:lineRule="auto"/>
            </w:pPr>
            <w:r>
              <w:rPr>
                <w:sz w:val="19"/>
                <w:szCs w:val="19"/>
              </w:rPr>
              <w:t xml:space="preserve">Met</w:t>
            </w:r>
          </w:p>
        </w:tc>
      </w:tr>
      <w:tr>
        <w:trPr>
          <w:cantSplit/>
        </w:trPr>
        <w:tc>
          <w:tcPr>
            <w:tcW w:w="3200" w:type="dxa"/>
          </w:tcPr>
          <w:p>
            <w:pPr>
              <w:spacing w:after="0" w:line="240" w:lineRule="auto"/>
            </w:pPr>
            <w:r>
              <w:rPr>
                <w:sz w:val="19"/>
                <w:szCs w:val="19"/>
              </w:rPr>
              <w:t xml:space="preserve">Latency p90</w:t>
            </w:r>
          </w:p>
        </w:tc>
        <w:tc>
          <w:tcPr>
            <w:tcW w:w="1100" w:type="dxa"/>
          </w:tcPr>
          <w:p>
            <w:pPr>
              <w:spacing w:after="0" w:line="240" w:lineRule="auto"/>
            </w:pPr>
            <w:r>
              <w:rPr>
                <w:sz w:val="19"/>
                <w:szCs w:val="19"/>
              </w:rPr>
              <w:t xml:space="preserve">&lt;5 s</w:t>
            </w:r>
          </w:p>
        </w:tc>
        <w:tc>
          <w:tcPr>
            <w:tcW w:w="3360" w:type="dxa"/>
          </w:tcPr>
          <w:p>
            <w:pPr>
              <w:spacing w:after="0" w:line="240" w:lineRule="auto"/>
            </w:pPr>
            <w:r>
              <w:rPr>
                <w:sz w:val="19"/>
                <w:szCs w:val="19"/>
              </w:rPr>
              <w:t xml:space="preserve">2.9–3.2 s</w:t>
            </w:r>
          </w:p>
        </w:tc>
        <w:tc>
          <w:tcPr>
            <w:tcW w:w="1700" w:type="dxa"/>
          </w:tcPr>
          <w:p>
            <w:pPr>
              <w:spacing w:after="0" w:line="240" w:lineRule="auto"/>
            </w:pPr>
            <w:r>
              <w:rPr>
                <w:sz w:val="19"/>
                <w:szCs w:val="19"/>
              </w:rPr>
              <w:t xml:space="preserve">Met</w:t>
            </w:r>
          </w:p>
        </w:tc>
      </w:tr>
      <w:tr>
        <w:trPr>
          <w:cantSplit/>
        </w:trPr>
        <w:tc>
          <w:tcPr>
            <w:tcW w:w="3200" w:type="dxa"/>
          </w:tcPr>
          <w:p>
            <w:pPr>
              <w:spacing w:after="0" w:line="240" w:lineRule="auto"/>
            </w:pPr>
            <w:r>
              <w:rPr>
                <w:sz w:val="19"/>
                <w:szCs w:val="19"/>
              </w:rPr>
              <w:t xml:space="preserve">Cost per answered question</w:t>
            </w:r>
          </w:p>
        </w:tc>
        <w:tc>
          <w:tcPr>
            <w:tcW w:w="1100" w:type="dxa"/>
          </w:tcPr>
          <w:p>
            <w:pPr>
              <w:spacing w:after="0" w:line="240" w:lineRule="auto"/>
            </w:pPr>
            <w:r>
              <w:rPr>
                <w:sz w:val="19"/>
                <w:szCs w:val="19"/>
              </w:rPr>
              <w:t xml:space="preserve">—</w:t>
            </w:r>
          </w:p>
        </w:tc>
        <w:tc>
          <w:tcPr>
            <w:tcW w:w="3360" w:type="dxa"/>
          </w:tcPr>
          <w:p>
            <w:pPr>
              <w:spacing w:after="0" w:line="240" w:lineRule="auto"/>
            </w:pPr>
            <w:r>
              <w:rPr>
                <w:sz w:val="19"/>
                <w:szCs w:val="19"/>
              </w:rPr>
              <w:t xml:space="preserve">≈ $0.0004</w:t>
            </w:r>
          </w:p>
        </w:tc>
        <w:tc>
          <w:tcPr>
            <w:tcW w:w="1700" w:type="dxa"/>
          </w:tcPr>
          <w:p>
            <w:pPr>
              <w:spacing w:after="0" w:line="240" w:lineRule="auto"/>
            </w:pPr>
            <w:r>
              <w:rPr>
                <w:sz w:val="19"/>
                <w:szCs w:val="19"/>
              </w:rPr>
              <w:t xml:space="preserve">—</w:t>
            </w:r>
          </w:p>
        </w:tc>
      </w:tr>
      <w:tr>
        <w:trPr>
          <w:cantSplit/>
        </w:trPr>
        <w:tc>
          <w:tcPr>
            <w:tcW w:w="3200" w:type="dxa"/>
          </w:tcPr>
          <w:p>
            <w:pPr>
              <w:spacing w:after="0" w:line="240" w:lineRule="auto"/>
            </w:pPr>
            <w:r>
              <w:rPr>
                <w:sz w:val="19"/>
                <w:szCs w:val="19"/>
              </w:rPr>
              <w:t xml:space="preserve">Refusal correctness</w:t>
            </w:r>
          </w:p>
        </w:tc>
        <w:tc>
          <w:tcPr>
            <w:tcW w:w="1100" w:type="dxa"/>
          </w:tcPr>
          <w:p>
            <w:pPr>
              <w:spacing w:after="0" w:line="240" w:lineRule="auto"/>
            </w:pPr>
            <w:r>
              <w:rPr>
                <w:sz w:val="19"/>
                <w:szCs w:val="19"/>
              </w:rPr>
              <w:t xml:space="preserve">100%</w:t>
            </w:r>
          </w:p>
        </w:tc>
        <w:tc>
          <w:tcPr>
            <w:tcW w:w="3360" w:type="dxa"/>
          </w:tcPr>
          <w:p>
            <w:pPr>
              <w:spacing w:after="0" w:line="240" w:lineRule="auto"/>
            </w:pPr>
            <w:r>
              <w:rPr>
                <w:sz w:val="19"/>
                <w:szCs w:val="19"/>
              </w:rPr>
              <w:t xml:space="preserve">93–97% across runs</w:t>
            </w:r>
          </w:p>
        </w:tc>
        <w:tc>
          <w:tcPr>
            <w:tcW w:w="1700" w:type="dxa"/>
          </w:tcPr>
          <w:p>
            <w:pPr>
              <w:spacing w:after="0" w:line="240" w:lineRule="auto"/>
            </w:pPr>
            <w:r>
              <w:rPr>
                <w:sz w:val="19"/>
                <w:szCs w:val="19"/>
              </w:rPr>
              <w:t xml:space="preserve">Below (K1, K3)</w:t>
            </w:r>
          </w:p>
        </w:tc>
      </w:tr>
      <w:tr>
        <w:trPr>
          <w:cantSplit/>
        </w:trPr>
        <w:tc>
          <w:tcPr>
            <w:tcW w:w="3200" w:type="dxa"/>
          </w:tcPr>
          <w:p>
            <w:pPr>
              <w:spacing w:after="0" w:line="240" w:lineRule="auto"/>
            </w:pPr>
            <w:r>
              <w:rPr>
                <w:sz w:val="19"/>
                <w:szCs w:val="19"/>
              </w:rPr>
              <w:t xml:space="preserve">Consistency (same question, 3 runs)</w:t>
            </w:r>
          </w:p>
        </w:tc>
        <w:tc>
          <w:tcPr>
            <w:tcW w:w="1100" w:type="dxa"/>
          </w:tcPr>
          <w:p>
            <w:pPr>
              <w:spacing w:after="0" w:line="240" w:lineRule="auto"/>
            </w:pPr>
            <w:r>
              <w:rPr>
                <w:sz w:val="19"/>
                <w:szCs w:val="19"/>
              </w:rPr>
              <w:t xml:space="preserve">≥95%</w:t>
            </w:r>
          </w:p>
        </w:tc>
        <w:tc>
          <w:tcPr>
            <w:tcW w:w="3360" w:type="dxa"/>
          </w:tcPr>
          <w:p>
            <w:pPr>
              <w:spacing w:after="0" w:line="240" w:lineRule="auto"/>
            </w:pPr>
            <w:r>
              <w:rPr>
                <w:sz w:val="19"/>
                <w:szCs w:val="19"/>
              </w:rPr>
              <w:t xml:space="preserve">90% (26/29)</w:t>
            </w:r>
          </w:p>
        </w:tc>
        <w:tc>
          <w:tcPr>
            <w:tcW w:w="1700" w:type="dxa"/>
          </w:tcPr>
          <w:p>
            <w:pPr>
              <w:spacing w:after="0" w:line="240" w:lineRule="auto"/>
            </w:pPr>
            <w:r>
              <w:rPr>
                <w:sz w:val="19"/>
                <w:szCs w:val="19"/>
              </w:rPr>
              <w:t xml:space="preserve">Below (K3, K4)</w:t>
            </w:r>
          </w:p>
        </w:tc>
      </w:tr>
      <w:tr>
        <w:trPr>
          <w:cantSplit/>
        </w:trPr>
        <w:tc>
          <w:tcPr>
            <w:tcW w:w="3200" w:type="dxa"/>
          </w:tcPr>
          <w:p>
            <w:pPr>
              <w:spacing w:after="0" w:line="240" w:lineRule="auto"/>
            </w:pPr>
            <w:r>
              <w:rPr>
                <w:sz w:val="19"/>
                <w:szCs w:val="19"/>
              </w:rPr>
              <w:t xml:space="preserve">Handle time reduction</w:t>
            </w:r>
          </w:p>
        </w:tc>
        <w:tc>
          <w:tcPr>
            <w:tcW w:w="1100" w:type="dxa"/>
          </w:tcPr>
          <w:p>
            <w:pPr>
              <w:spacing w:after="0" w:line="240" w:lineRule="auto"/>
            </w:pPr>
            <w:r>
              <w:rPr>
                <w:sz w:val="19"/>
                <w:szCs w:val="19"/>
              </w:rPr>
              <w:t xml:space="preserve">≥30%</w:t>
            </w:r>
          </w:p>
        </w:tc>
        <w:tc>
          <w:tcPr>
            <w:tcW w:w="3360" w:type="dxa"/>
          </w:tcPr>
          <w:p>
            <w:pPr>
              <w:spacing w:after="0" w:line="240" w:lineRule="auto"/>
            </w:pPr>
            <w:r>
              <w:rPr>
                <w:sz w:val="19"/>
                <w:szCs w:val="19"/>
              </w:rPr>
              <w:t xml:space="preserve">Not measurable offline</w:t>
            </w:r>
          </w:p>
        </w:tc>
        <w:tc>
          <w:tcPr>
            <w:tcW w:w="1700" w:type="dxa"/>
          </w:tcPr>
          <w:p>
            <w:pPr>
              <w:spacing w:after="0" w:line="240" w:lineRule="auto"/>
            </w:pPr>
            <w:r>
              <w:rPr>
                <w:sz w:val="19"/>
                <w:szCs w:val="19"/>
              </w:rPr>
              <w:t xml:space="preserve">Shadow mode</w:t>
            </w:r>
          </w:p>
        </w:tc>
      </w:tr>
    </w:tbl>
    <w:p>
      <w:pPr>
        <w:spacing w:after="0"/>
      </w:pPr>
    </w:p>
    <w:p>
      <w:pPr>
        <w:spacing w:after="120"/>
      </w:pPr>
      <w:r>
        <w:rPr>
          <w:i/>
          <w:iCs/>
        </w:rPr>
        <w:t xml:space="preserve">Full detail: PRD &gt; Results &amp; Learnings.</w:t>
      </w:r>
    </w:p>
    <w:p>
      <w:pPr>
        <w:pStyle w:val="Heading1"/>
      </w:pPr>
      <w:r>
        <w:t xml:space="preserve">Key Decisions and Pivots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700"/>
        <w:gridCol w:w="2000"/>
        <w:gridCol w:w="2200"/>
        <w:gridCol w:w="3460"/>
      </w:tblGrid>
      <w:tr>
        <w:trPr>
          <w:tblHeader/>
        </w:trPr>
        <w:tc>
          <w:tcPr>
            <w:tcW w:w="1700" w:type="dxa"/>
            <w:shd w:val="clear" w:color="auto" w:fill="E8EEF4"/>
          </w:tcPr>
          <w:p>
            <w:pPr>
              <w:spacing w:after="0" w:line="240" w:lineRule="auto"/>
            </w:pPr>
            <w:r>
              <w:rPr>
                <w:b/>
                <w:bCs/>
                <w:sz w:val="19"/>
                <w:szCs w:val="19"/>
              </w:rPr>
              <w:t xml:space="preserve">Decision</w:t>
            </w:r>
          </w:p>
        </w:tc>
        <w:tc>
          <w:tcPr>
            <w:tcW w:w="2000" w:type="dxa"/>
            <w:shd w:val="clear" w:color="auto" w:fill="E8EEF4"/>
          </w:tcPr>
          <w:p>
            <w:pPr>
              <w:spacing w:after="0" w:line="240" w:lineRule="auto"/>
            </w:pPr>
            <w:r>
              <w:rPr>
                <w:b/>
                <w:bCs/>
                <w:sz w:val="19"/>
                <w:szCs w:val="19"/>
              </w:rPr>
              <w:t xml:space="preserve">Planned</w:t>
            </w:r>
          </w:p>
        </w:tc>
        <w:tc>
          <w:tcPr>
            <w:tcW w:w="2200" w:type="dxa"/>
            <w:shd w:val="clear" w:color="auto" w:fill="E8EEF4"/>
          </w:tcPr>
          <w:p>
            <w:pPr>
              <w:spacing w:after="0" w:line="240" w:lineRule="auto"/>
            </w:pPr>
            <w:r>
              <w:rPr>
                <w:b/>
                <w:bCs/>
                <w:sz w:val="19"/>
                <w:szCs w:val="19"/>
              </w:rPr>
              <w:t xml:space="preserve">Final</w:t>
            </w:r>
          </w:p>
        </w:tc>
        <w:tc>
          <w:tcPr>
            <w:tcW w:w="3460" w:type="dxa"/>
            <w:shd w:val="clear" w:color="auto" w:fill="E8EEF4"/>
          </w:tcPr>
          <w:p>
            <w:pPr>
              <w:spacing w:after="0" w:line="240" w:lineRule="auto"/>
            </w:pPr>
            <w:r>
              <w:rPr>
                <w:b/>
                <w:bCs/>
                <w:sz w:val="19"/>
                <w:szCs w:val="19"/>
              </w:rPr>
              <w:t xml:space="preserve">Evidence</w:t>
            </w:r>
          </w:p>
        </w:tc>
      </w:tr>
      <w:tr>
        <w:trPr>
          <w:cantSplit/>
        </w:trPr>
        <w:tc>
          <w:tcPr>
            <w:tcW w:w="1700" w:type="dxa"/>
          </w:tcPr>
          <w:p>
            <w:pPr>
              <w:spacing w:after="0" w:line="240" w:lineRule="auto"/>
            </w:pPr>
            <w:r>
              <w:rPr>
                <w:sz w:val="19"/>
                <w:szCs w:val="19"/>
              </w:rPr>
              <w:t xml:space="preserve">Cloud provider</w:t>
            </w:r>
          </w:p>
        </w:tc>
        <w:tc>
          <w:tcPr>
            <w:tcW w:w="2000" w:type="dxa"/>
          </w:tcPr>
          <w:p>
            <w:pPr>
              <w:spacing w:after="0" w:line="240" w:lineRule="auto"/>
            </w:pPr>
            <w:r>
              <w:rPr>
                <w:sz w:val="19"/>
                <w:szCs w:val="19"/>
              </w:rPr>
              <w:t xml:space="preserve">AWS Bedrock</w:t>
            </w:r>
          </w:p>
        </w:tc>
        <w:tc>
          <w:tcPr>
            <w:tcW w:w="2200" w:type="dxa"/>
          </w:tcPr>
          <w:p>
            <w:pPr>
              <w:spacing w:after="0" w:line="240" w:lineRule="auto"/>
            </w:pPr>
            <w:r>
              <w:rPr>
                <w:sz w:val="19"/>
                <w:szCs w:val="19"/>
              </w:rPr>
              <w:t xml:space="preserve">Azure OpenAI</w:t>
            </w:r>
          </w:p>
        </w:tc>
        <w:tc>
          <w:tcPr>
            <w:tcW w:w="3460" w:type="dxa"/>
          </w:tcPr>
          <w:p>
            <w:pPr>
              <w:spacing w:after="0" w:line="240" w:lineRule="auto"/>
            </w:pPr>
            <w:r>
              <w:rPr>
                <w:sz w:val="19"/>
                <w:szCs w:val="19"/>
              </w:rPr>
              <w:t xml:space="preserve">New AWS account blocked from all models; switch needed no code rework</w:t>
            </w:r>
          </w:p>
        </w:tc>
      </w:tr>
      <w:tr>
        <w:trPr>
          <w:cantSplit/>
        </w:trPr>
        <w:tc>
          <w:tcPr>
            <w:tcW w:w="1700" w:type="dxa"/>
          </w:tcPr>
          <w:p>
            <w:pPr>
              <w:spacing w:after="0" w:line="240" w:lineRule="auto"/>
            </w:pPr>
            <w:r>
              <w:rPr>
                <w:sz w:val="19"/>
                <w:szCs w:val="19"/>
              </w:rPr>
              <w:t xml:space="preserve">Retrieval</w:t>
            </w:r>
          </w:p>
        </w:tc>
        <w:tc>
          <w:tcPr>
            <w:tcW w:w="2000" w:type="dxa"/>
          </w:tcPr>
          <w:p>
            <w:pPr>
              <w:spacing w:after="0" w:line="240" w:lineRule="auto"/>
            </w:pPr>
            <w:r>
              <w:rPr>
                <w:sz w:val="19"/>
                <w:szCs w:val="19"/>
              </w:rPr>
              <w:t xml:space="preserve">Hybrid (BM25 + vector)</w:t>
            </w:r>
          </w:p>
        </w:tc>
        <w:tc>
          <w:tcPr>
            <w:tcW w:w="2200" w:type="dxa"/>
          </w:tcPr>
          <w:p>
            <w:pPr>
              <w:spacing w:after="0" w:line="240" w:lineRule="auto"/>
            </w:pPr>
            <w:r>
              <w:rPr>
                <w:sz w:val="19"/>
                <w:szCs w:val="19"/>
              </w:rPr>
              <w:t xml:space="preserve">Vector; hybrid configurable</w:t>
            </w:r>
          </w:p>
        </w:tc>
        <w:tc>
          <w:tcPr>
            <w:tcW w:w="3460" w:type="dxa"/>
          </w:tcPr>
          <w:p>
            <w:pPr>
              <w:spacing w:after="0" w:line="240" w:lineRule="auto"/>
            </w:pPr>
            <w:r>
              <w:rPr>
                <w:sz w:val="19"/>
                <w:szCs w:val="19"/>
              </w:rPr>
              <w:t xml:space="preserve">Vector 100% vs hybrid 91% chunk hit@3</w:t>
            </w:r>
          </w:p>
        </w:tc>
      </w:tr>
      <w:tr>
        <w:trPr>
          <w:cantSplit/>
        </w:trPr>
        <w:tc>
          <w:tcPr>
            <w:tcW w:w="1700" w:type="dxa"/>
          </w:tcPr>
          <w:p>
            <w:pPr>
              <w:spacing w:after="0" w:line="240" w:lineRule="auto"/>
            </w:pPr>
            <w:r>
              <w:rPr>
                <w:sz w:val="19"/>
                <w:szCs w:val="19"/>
              </w:rPr>
              <w:t xml:space="preserve">Routing</w:t>
            </w:r>
          </w:p>
        </w:tc>
        <w:tc>
          <w:tcPr>
            <w:tcW w:w="2000" w:type="dxa"/>
          </w:tcPr>
          <w:p>
            <w:pPr>
              <w:spacing w:after="0" w:line="240" w:lineRule="auto"/>
            </w:pPr>
            <w:r>
              <w:rPr>
                <w:sz w:val="19"/>
                <w:szCs w:val="19"/>
              </w:rPr>
              <w:t xml:space="preserve">LLM classifier</w:t>
            </w:r>
          </w:p>
        </w:tc>
        <w:tc>
          <w:tcPr>
            <w:tcW w:w="2200" w:type="dxa"/>
          </w:tcPr>
          <w:p>
            <w:pPr>
              <w:spacing w:after="0" w:line="240" w:lineRule="auto"/>
            </w:pPr>
            <w:r>
              <w:rPr>
                <w:sz w:val="19"/>
                <w:szCs w:val="19"/>
              </w:rPr>
              <w:t xml:space="preserve">Tiered (rules + LLM)</w:t>
            </w:r>
          </w:p>
        </w:tc>
        <w:tc>
          <w:tcPr>
            <w:tcW w:w="3460" w:type="dxa"/>
          </w:tcPr>
          <w:p>
            <w:pPr>
              <w:spacing w:after="0" w:line="240" w:lineRule="auto"/>
            </w:pPr>
            <w:r>
              <w:rPr>
                <w:sz w:val="19"/>
                <w:szCs w:val="19"/>
              </w:rPr>
              <w:t xml:space="preserve">Same 100% accuracy as LLM-only with 25% fewer LLM calls</w:t>
            </w:r>
          </w:p>
        </w:tc>
      </w:tr>
      <w:tr>
        <w:trPr>
          <w:cantSplit/>
        </w:trPr>
        <w:tc>
          <w:tcPr>
            <w:tcW w:w="1700" w:type="dxa"/>
          </w:tcPr>
          <w:p>
            <w:pPr>
              <w:spacing w:after="0" w:line="240" w:lineRule="auto"/>
            </w:pPr>
            <w:r>
              <w:rPr>
                <w:sz w:val="19"/>
                <w:szCs w:val="19"/>
              </w:rPr>
              <w:t xml:space="preserve">Real-time answers</w:t>
            </w:r>
          </w:p>
        </w:tc>
        <w:tc>
          <w:tcPr>
            <w:tcW w:w="2000" w:type="dxa"/>
          </w:tcPr>
          <w:p>
            <w:pPr>
              <w:spacing w:after="0" w:line="240" w:lineRule="auto"/>
            </w:pPr>
            <w:r>
              <w:rPr>
                <w:sz w:val="19"/>
                <w:szCs w:val="19"/>
              </w:rPr>
              <w:t xml:space="preserve">LLM phrasing</w:t>
            </w:r>
          </w:p>
        </w:tc>
        <w:tc>
          <w:tcPr>
            <w:tcW w:w="2200" w:type="dxa"/>
          </w:tcPr>
          <w:p>
            <w:pPr>
              <w:spacing w:after="0" w:line="240" w:lineRule="auto"/>
            </w:pPr>
            <w:r>
              <w:rPr>
                <w:sz w:val="19"/>
                <w:szCs w:val="19"/>
              </w:rPr>
              <w:t xml:space="preserve">Templates, no LLM</w:t>
            </w:r>
          </w:p>
        </w:tc>
        <w:tc>
          <w:tcPr>
            <w:tcW w:w="3460" w:type="dxa"/>
          </w:tcPr>
          <w:p>
            <w:pPr>
              <w:spacing w:after="0" w:line="240" w:lineRule="auto"/>
            </w:pPr>
            <w:r>
              <w:rPr>
                <w:sz w:val="19"/>
                <w:szCs w:val="19"/>
              </w:rPr>
              <w:t xml:space="preserve">Exact numbers; lower cost and risk</w:t>
            </w:r>
          </w:p>
        </w:tc>
      </w:tr>
      <w:tr>
        <w:trPr>
          <w:cantSplit/>
        </w:trPr>
        <w:tc>
          <w:tcPr>
            <w:tcW w:w="1700" w:type="dxa"/>
          </w:tcPr>
          <w:p>
            <w:pPr>
              <w:spacing w:after="0" w:line="240" w:lineRule="auto"/>
            </w:pPr>
            <w:r>
              <w:rPr>
                <w:sz w:val="19"/>
                <w:szCs w:val="19"/>
              </w:rPr>
              <w:t xml:space="preserve">Prompt tuning</w:t>
            </w:r>
          </w:p>
        </w:tc>
        <w:tc>
          <w:tcPr>
            <w:tcW w:w="2000" w:type="dxa"/>
          </w:tcPr>
          <w:p>
            <w:pPr>
              <w:spacing w:after="0" w:line="240" w:lineRule="auto"/>
            </w:pPr>
            <w:r>
              <w:rPr>
                <w:sz w:val="19"/>
                <w:szCs w:val="19"/>
              </w:rPr>
              <w:t xml:space="preserve">Fix each miss with a rule</w:t>
            </w:r>
          </w:p>
        </w:tc>
        <w:tc>
          <w:tcPr>
            <w:tcW w:w="2200" w:type="dxa"/>
          </w:tcPr>
          <w:p>
            <w:pPr>
              <w:spacing w:after="0" w:line="240" w:lineRule="auto"/>
            </w:pPr>
            <w:r>
              <w:rPr>
                <w:sz w:val="19"/>
                <w:szCs w:val="19"/>
              </w:rPr>
              <w:t xml:space="preserve">Stopped; structural fix planned</w:t>
            </w:r>
          </w:p>
        </w:tc>
        <w:tc>
          <w:tcPr>
            <w:tcW w:w="3460" w:type="dxa"/>
          </w:tcPr>
          <w:p>
            <w:pPr>
              <w:spacing w:after="0" w:line="240" w:lineRule="auto"/>
            </w:pPr>
            <w:r>
              <w:rPr>
                <w:sz w:val="19"/>
                <w:szCs w:val="19"/>
              </w:rPr>
              <w:t xml:space="preserve">Each rule moved a miss elsewhere</w:t>
            </w:r>
          </w:p>
        </w:tc>
      </w:tr>
    </w:tbl>
    <w:p>
      <w:pPr>
        <w:spacing w:after="0"/>
      </w:pPr>
    </w:p>
    <w:p>
      <w:pPr>
        <w:pStyle w:val="Heading1"/>
      </w:pPr>
      <w:r>
        <w:t xml:space="preserve">Open Items Handed Over</w:t>
      </w:r>
    </w:p>
    <w:p>
      <w:pPr>
        <w:spacing w:after="120"/>
      </w:pPr>
      <w:r>
        <w:t xml:space="preserve">All items have an owner and a target stage in the RAID log (38 items: 6 issues, 14 risks, 6 assumptions, 5 dependencies, 7 open decisions). Highest priority: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700"/>
        <w:gridCol w:w="3800"/>
        <w:gridCol w:w="2160"/>
        <w:gridCol w:w="1400"/>
        <w:gridCol w:w="1300"/>
      </w:tblGrid>
      <w:tr>
        <w:trPr>
          <w:tblHeader/>
        </w:trPr>
        <w:tc>
          <w:tcPr>
            <w:tcW w:w="700" w:type="dxa"/>
            <w:shd w:val="clear" w:color="auto" w:fill="E8EEF4"/>
          </w:tcPr>
          <w:p>
            <w:pPr>
              <w:spacing w:after="0" w:line="240" w:lineRule="auto"/>
            </w:pPr>
            <w:r>
              <w:rPr>
                <w:b/>
                <w:bCs/>
                <w:sz w:val="19"/>
                <w:szCs w:val="19"/>
              </w:rPr>
              <w:t xml:space="preserve">ID</w:t>
            </w:r>
          </w:p>
        </w:tc>
        <w:tc>
          <w:tcPr>
            <w:tcW w:w="3800" w:type="dxa"/>
            <w:shd w:val="clear" w:color="auto" w:fill="E8EEF4"/>
          </w:tcPr>
          <w:p>
            <w:pPr>
              <w:spacing w:after="0" w:line="240" w:lineRule="auto"/>
            </w:pPr>
            <w:r>
              <w:rPr>
                <w:b/>
                <w:bCs/>
                <w:sz w:val="19"/>
                <w:szCs w:val="19"/>
              </w:rPr>
              <w:t xml:space="preserve">Item</w:t>
            </w:r>
          </w:p>
        </w:tc>
        <w:tc>
          <w:tcPr>
            <w:tcW w:w="2160" w:type="dxa"/>
            <w:shd w:val="clear" w:color="auto" w:fill="E8EEF4"/>
          </w:tcPr>
          <w:p>
            <w:pPr>
              <w:spacing w:after="0" w:line="240" w:lineRule="auto"/>
            </w:pPr>
            <w:r>
              <w:rPr>
                <w:b/>
                <w:bCs/>
                <w:sz w:val="19"/>
                <w:szCs w:val="19"/>
              </w:rPr>
              <w:t xml:space="preserve">Owner</w:t>
            </w:r>
          </w:p>
        </w:tc>
        <w:tc>
          <w:tcPr>
            <w:tcW w:w="1400" w:type="dxa"/>
            <w:shd w:val="clear" w:color="auto" w:fill="E8EEF4"/>
          </w:tcPr>
          <w:p>
            <w:pPr>
              <w:spacing w:after="0" w:line="240" w:lineRule="auto"/>
            </w:pPr>
            <w:r>
              <w:rPr>
                <w:b/>
                <w:bCs/>
                <w:sz w:val="19"/>
                <w:szCs w:val="19"/>
              </w:rPr>
              <w:t xml:space="preserve">Target stage</w:t>
            </w:r>
          </w:p>
        </w:tc>
        <w:tc>
          <w:tcPr>
            <w:tcW w:w="1300" w:type="dxa"/>
            <w:shd w:val="clear" w:color="auto" w:fill="E8EEF4"/>
          </w:tcPr>
          <w:p>
            <w:pPr>
              <w:spacing w:after="0" w:line="240" w:lineRule="auto"/>
            </w:pPr>
            <w:r>
              <w:rPr>
                <w:b/>
                <w:bCs/>
                <w:sz w:val="19"/>
                <w:szCs w:val="19"/>
              </w:rPr>
              <w:t xml:space="preserve">Status</w:t>
            </w:r>
          </w:p>
        </w:tc>
      </w:tr>
      <w:tr>
        <w:trPr>
          <w:cantSplit/>
        </w:trPr>
        <w:tc>
          <w:tcPr>
            <w:tcW w:w="700" w:type="dxa"/>
          </w:tcPr>
          <w:p>
            <w:pPr>
              <w:spacing w:after="0" w:line="240" w:lineRule="auto"/>
            </w:pPr>
            <w:r>
              <w:rPr>
                <w:sz w:val="19"/>
                <w:szCs w:val="19"/>
              </w:rPr>
              <w:t xml:space="preserve">K1</w:t>
            </w:r>
          </w:p>
        </w:tc>
        <w:tc>
          <w:tcPr>
            <w:tcW w:w="3800" w:type="dxa"/>
          </w:tcPr>
          <w:p>
            <w:pPr>
              <w:spacing w:after="0" w:line="240" w:lineRule="auto"/>
            </w:pPr>
            <w:r>
              <w:rPr>
                <w:sz w:val="19"/>
                <w:szCs w:val="19"/>
              </w:rPr>
              <w:t xml:space="preserve">Scope inference (O03)</w:t>
            </w:r>
          </w:p>
        </w:tc>
        <w:tc>
          <w:tcPr>
            <w:tcW w:w="2160" w:type="dxa"/>
          </w:tcPr>
          <w:p>
            <w:pPr>
              <w:spacing w:after="0" w:line="240" w:lineRule="auto"/>
            </w:pPr>
            <w:r>
              <w:rPr>
                <w:sz w:val="19"/>
                <w:szCs w:val="19"/>
              </w:rPr>
              <w:t xml:space="preserve">Policy Owner; PM + Eng</w:t>
            </w:r>
          </w:p>
        </w:tc>
        <w:tc>
          <w:tcPr>
            <w:tcW w:w="1400" w:type="dxa"/>
          </w:tcPr>
          <w:p>
            <w:pPr>
              <w:spacing w:after="0" w:line="240" w:lineRule="auto"/>
            </w:pPr>
            <w:r>
              <w:rPr>
                <w:sz w:val="19"/>
                <w:szCs w:val="19"/>
              </w:rPr>
              <w:t xml:space="preserve">Shadow mode</w:t>
            </w:r>
          </w:p>
        </w:tc>
        <w:tc>
          <w:tcPr>
            <w:tcW w:w="1300" w:type="dxa"/>
          </w:tcPr>
          <w:p>
            <w:pPr>
              <w:spacing w:after="0" w:line="240" w:lineRule="auto"/>
            </w:pPr>
            <w:r>
              <w:rPr>
                <w:sz w:val="19"/>
                <w:szCs w:val="19"/>
              </w:rPr>
              <w:t xml:space="preserve">Open</w:t>
            </w:r>
          </w:p>
        </w:tc>
      </w:tr>
      <w:tr>
        <w:trPr>
          <w:cantSplit/>
        </w:trPr>
        <w:tc>
          <w:tcPr>
            <w:tcW w:w="700" w:type="dxa"/>
          </w:tcPr>
          <w:p>
            <w:pPr>
              <w:spacing w:after="0" w:line="240" w:lineRule="auto"/>
            </w:pPr>
            <w:r>
              <w:rPr>
                <w:sz w:val="19"/>
                <w:szCs w:val="19"/>
              </w:rPr>
              <w:t xml:space="preserve">K2</w:t>
            </w:r>
          </w:p>
        </w:tc>
        <w:tc>
          <w:tcPr>
            <w:tcW w:w="3800" w:type="dxa"/>
          </w:tcPr>
          <w:p>
            <w:pPr>
              <w:spacing w:after="0" w:line="240" w:lineRule="auto"/>
            </w:pPr>
            <w:r>
              <w:rPr>
                <w:sz w:val="19"/>
                <w:szCs w:val="19"/>
              </w:rPr>
              <w:t xml:space="preserve">Stale index</w:t>
            </w:r>
          </w:p>
        </w:tc>
        <w:tc>
          <w:tcPr>
            <w:tcW w:w="2160" w:type="dxa"/>
          </w:tcPr>
          <w:p>
            <w:pPr>
              <w:spacing w:after="0" w:line="240" w:lineRule="auto"/>
            </w:pPr>
            <w:r>
              <w:rPr>
                <w:sz w:val="19"/>
                <w:szCs w:val="19"/>
              </w:rPr>
              <w:t xml:space="preserve">Engineering</w:t>
            </w:r>
          </w:p>
        </w:tc>
        <w:tc>
          <w:tcPr>
            <w:tcW w:w="1400" w:type="dxa"/>
          </w:tcPr>
          <w:p>
            <w:pPr>
              <w:spacing w:after="0" w:line="240" w:lineRule="auto"/>
            </w:pPr>
            <w:r>
              <w:rPr>
                <w:sz w:val="19"/>
                <w:szCs w:val="19"/>
              </w:rPr>
              <w:t xml:space="preserve">Pilot</w:t>
            </w:r>
          </w:p>
        </w:tc>
        <w:tc>
          <w:tcPr>
            <w:tcW w:w="1300" w:type="dxa"/>
          </w:tcPr>
          <w:p>
            <w:pPr>
              <w:spacing w:after="0" w:line="240" w:lineRule="auto"/>
            </w:pPr>
            <w:r>
              <w:rPr>
                <w:sz w:val="19"/>
                <w:szCs w:val="19"/>
              </w:rPr>
              <w:t xml:space="preserve">In progress</w:t>
            </w:r>
          </w:p>
        </w:tc>
      </w:tr>
      <w:tr>
        <w:trPr>
          <w:cantSplit/>
        </w:trPr>
        <w:tc>
          <w:tcPr>
            <w:tcW w:w="700" w:type="dxa"/>
          </w:tcPr>
          <w:p>
            <w:pPr>
              <w:spacing w:after="0" w:line="240" w:lineRule="auto"/>
            </w:pPr>
            <w:r>
              <w:rPr>
                <w:sz w:val="19"/>
                <w:szCs w:val="19"/>
              </w:rPr>
              <w:t xml:space="preserve">K3</w:t>
            </w:r>
          </w:p>
        </w:tc>
        <w:tc>
          <w:tcPr>
            <w:tcW w:w="3800" w:type="dxa"/>
          </w:tcPr>
          <w:p>
            <w:pPr>
              <w:spacing w:after="0" w:line="240" w:lineRule="auto"/>
            </w:pPr>
            <w:r>
              <w:rPr>
                <w:sz w:val="19"/>
                <w:szCs w:val="19"/>
              </w:rPr>
              <w:t xml:space="preserve">Status flips</w:t>
            </w:r>
          </w:p>
        </w:tc>
        <w:tc>
          <w:tcPr>
            <w:tcW w:w="2160" w:type="dxa"/>
          </w:tcPr>
          <w:p>
            <w:pPr>
              <w:spacing w:after="0" w:line="240" w:lineRule="auto"/>
            </w:pPr>
            <w:r>
              <w:rPr>
                <w:sz w:val="19"/>
                <w:szCs w:val="19"/>
              </w:rPr>
              <w:t xml:space="preserve">PM + Support Lead</w:t>
            </w:r>
          </w:p>
        </w:tc>
        <w:tc>
          <w:tcPr>
            <w:tcW w:w="1400" w:type="dxa"/>
          </w:tcPr>
          <w:p>
            <w:pPr>
              <w:spacing w:after="0" w:line="240" w:lineRule="auto"/>
            </w:pPr>
            <w:r>
              <w:rPr>
                <w:sz w:val="19"/>
                <w:szCs w:val="19"/>
              </w:rPr>
              <w:t xml:space="preserve">Pilot</w:t>
            </w:r>
          </w:p>
        </w:tc>
        <w:tc>
          <w:tcPr>
            <w:tcW w:w="1300" w:type="dxa"/>
          </w:tcPr>
          <w:p>
            <w:pPr>
              <w:spacing w:after="0" w:line="240" w:lineRule="auto"/>
            </w:pPr>
            <w:r>
              <w:rPr>
                <w:sz w:val="19"/>
                <w:szCs w:val="19"/>
              </w:rPr>
              <w:t xml:space="preserve">Open</w:t>
            </w:r>
          </w:p>
        </w:tc>
      </w:tr>
      <w:tr>
        <w:trPr>
          <w:cantSplit/>
        </w:trPr>
        <w:tc>
          <w:tcPr>
            <w:tcW w:w="700" w:type="dxa"/>
          </w:tcPr>
          <w:p>
            <w:pPr>
              <w:spacing w:after="0" w:line="240" w:lineRule="auto"/>
            </w:pPr>
            <w:r>
              <w:rPr>
                <w:sz w:val="19"/>
                <w:szCs w:val="19"/>
              </w:rPr>
              <w:t xml:space="preserve">K4</w:t>
            </w:r>
          </w:p>
        </w:tc>
        <w:tc>
          <w:tcPr>
            <w:tcW w:w="3800" w:type="dxa"/>
          </w:tcPr>
          <w:p>
            <w:pPr>
              <w:spacing w:after="0" w:line="240" w:lineRule="auto"/>
            </w:pPr>
            <w:r>
              <w:rPr>
                <w:sz w:val="19"/>
                <w:szCs w:val="19"/>
              </w:rPr>
              <w:t xml:space="preserve">Citation variance</w:t>
            </w:r>
          </w:p>
        </w:tc>
        <w:tc>
          <w:tcPr>
            <w:tcW w:w="2160" w:type="dxa"/>
          </w:tcPr>
          <w:p>
            <w:pPr>
              <w:spacing w:after="0" w:line="240" w:lineRule="auto"/>
            </w:pPr>
            <w:r>
              <w:rPr>
                <w:sz w:val="19"/>
                <w:szCs w:val="19"/>
              </w:rPr>
              <w:t xml:space="preserve">Product Manager</w:t>
            </w:r>
          </w:p>
        </w:tc>
        <w:tc>
          <w:tcPr>
            <w:tcW w:w="1400" w:type="dxa"/>
          </w:tcPr>
          <w:p>
            <w:pPr>
              <w:spacing w:after="0" w:line="240" w:lineRule="auto"/>
            </w:pPr>
            <w:r>
              <w:rPr>
                <w:sz w:val="19"/>
                <w:szCs w:val="19"/>
              </w:rPr>
              <w:t xml:space="preserve">Pilot</w:t>
            </w:r>
          </w:p>
        </w:tc>
        <w:tc>
          <w:tcPr>
            <w:tcW w:w="1300" w:type="dxa"/>
          </w:tcPr>
          <w:p>
            <w:pPr>
              <w:spacing w:after="0" w:line="240" w:lineRule="auto"/>
            </w:pPr>
            <w:r>
              <w:rPr>
                <w:sz w:val="19"/>
                <w:szCs w:val="19"/>
              </w:rPr>
              <w:t xml:space="preserve">Accepted</w:t>
            </w:r>
          </w:p>
        </w:tc>
      </w:tr>
      <w:tr>
        <w:trPr>
          <w:cantSplit/>
        </w:trPr>
        <w:tc>
          <w:tcPr>
            <w:tcW w:w="700" w:type="dxa"/>
          </w:tcPr>
          <w:p>
            <w:pPr>
              <w:spacing w:after="0" w:line="240" w:lineRule="auto"/>
            </w:pPr>
            <w:r>
              <w:rPr>
                <w:sz w:val="19"/>
                <w:szCs w:val="19"/>
              </w:rPr>
              <w:t xml:space="preserve">K5</w:t>
            </w:r>
          </w:p>
        </w:tc>
        <w:tc>
          <w:tcPr>
            <w:tcW w:w="3800" w:type="dxa"/>
          </w:tcPr>
          <w:p>
            <w:pPr>
              <w:spacing w:after="0" w:line="240" w:lineRule="auto"/>
            </w:pPr>
            <w:r>
              <w:rPr>
                <w:sz w:val="19"/>
                <w:szCs w:val="19"/>
              </w:rPr>
              <w:t xml:space="preserve">Evaluation limits</w:t>
            </w:r>
          </w:p>
        </w:tc>
        <w:tc>
          <w:tcPr>
            <w:tcW w:w="2160" w:type="dxa"/>
          </w:tcPr>
          <w:p>
            <w:pPr>
              <w:spacing w:after="0" w:line="240" w:lineRule="auto"/>
            </w:pPr>
            <w:r>
              <w:rPr>
                <w:sz w:val="19"/>
                <w:szCs w:val="19"/>
              </w:rPr>
              <w:t xml:space="preserve">Product Manager</w:t>
            </w:r>
          </w:p>
        </w:tc>
        <w:tc>
          <w:tcPr>
            <w:tcW w:w="1400" w:type="dxa"/>
          </w:tcPr>
          <w:p>
            <w:pPr>
              <w:spacing w:after="0" w:line="240" w:lineRule="auto"/>
            </w:pPr>
            <w:r>
              <w:rPr>
                <w:sz w:val="19"/>
                <w:szCs w:val="19"/>
              </w:rPr>
              <w:t xml:space="preserve">Broad rollout</w:t>
            </w:r>
          </w:p>
        </w:tc>
        <w:tc>
          <w:tcPr>
            <w:tcW w:w="1300" w:type="dxa"/>
          </w:tcPr>
          <w:p>
            <w:pPr>
              <w:spacing w:after="0" w:line="240" w:lineRule="auto"/>
            </w:pPr>
            <w:r>
              <w:rPr>
                <w:sz w:val="19"/>
                <w:szCs w:val="19"/>
              </w:rPr>
              <w:t xml:space="preserve">Open</w:t>
            </w:r>
          </w:p>
        </w:tc>
      </w:tr>
      <w:tr>
        <w:trPr>
          <w:cantSplit/>
        </w:trPr>
        <w:tc>
          <w:tcPr>
            <w:tcW w:w="700" w:type="dxa"/>
          </w:tcPr>
          <w:p>
            <w:pPr>
              <w:spacing w:after="0" w:line="240" w:lineRule="auto"/>
            </w:pPr>
            <w:r>
              <w:rPr>
                <w:sz w:val="19"/>
                <w:szCs w:val="19"/>
              </w:rPr>
              <w:t xml:space="preserve">D1</w:t>
            </w:r>
          </w:p>
        </w:tc>
        <w:tc>
          <w:tcPr>
            <w:tcW w:w="3800" w:type="dxa"/>
          </w:tcPr>
          <w:p>
            <w:pPr>
              <w:spacing w:after="0" w:line="240" w:lineRule="auto"/>
            </w:pPr>
            <w:r>
              <w:rPr>
                <w:sz w:val="19"/>
                <w:szCs w:val="19"/>
              </w:rPr>
              <w:t xml:space="preserve">Essential Plus coverage definition</w:t>
            </w:r>
          </w:p>
        </w:tc>
        <w:tc>
          <w:tcPr>
            <w:tcW w:w="2160" w:type="dxa"/>
          </w:tcPr>
          <w:p>
            <w:pPr>
              <w:spacing w:after="0" w:line="240" w:lineRule="auto"/>
            </w:pPr>
            <w:r>
              <w:rPr>
                <w:sz w:val="19"/>
                <w:szCs w:val="19"/>
              </w:rPr>
              <w:t xml:space="preserve">Policy Owner</w:t>
            </w:r>
          </w:p>
        </w:tc>
        <w:tc>
          <w:tcPr>
            <w:tcW w:w="1400" w:type="dxa"/>
          </w:tcPr>
          <w:p>
            <w:pPr>
              <w:spacing w:after="0" w:line="240" w:lineRule="auto"/>
            </w:pPr>
            <w:r>
              <w:rPr>
                <w:sz w:val="19"/>
                <w:szCs w:val="19"/>
              </w:rPr>
              <w:t xml:space="preserve">Shadow mode</w:t>
            </w:r>
          </w:p>
        </w:tc>
        <w:tc>
          <w:tcPr>
            <w:tcW w:w="1300" w:type="dxa"/>
          </w:tcPr>
          <w:p>
            <w:pPr>
              <w:spacing w:after="0" w:line="240" w:lineRule="auto"/>
            </w:pPr>
            <w:r>
              <w:rPr>
                <w:sz w:val="19"/>
                <w:szCs w:val="19"/>
              </w:rPr>
              <w:t xml:space="preserve">Open</w:t>
            </w:r>
          </w:p>
        </w:tc>
      </w:tr>
      <w:tr>
        <w:trPr>
          <w:cantSplit/>
        </w:trPr>
        <w:tc>
          <w:tcPr>
            <w:tcW w:w="700" w:type="dxa"/>
          </w:tcPr>
          <w:p>
            <w:pPr>
              <w:spacing w:after="0" w:line="240" w:lineRule="auto"/>
            </w:pPr>
            <w:r>
              <w:rPr>
                <w:sz w:val="19"/>
                <w:szCs w:val="19"/>
              </w:rPr>
              <w:t xml:space="preserve">D3</w:t>
            </w:r>
          </w:p>
        </w:tc>
        <w:tc>
          <w:tcPr>
            <w:tcW w:w="3800" w:type="dxa"/>
          </w:tcPr>
          <w:p>
            <w:pPr>
              <w:spacing w:after="0" w:line="240" w:lineRule="auto"/>
            </w:pPr>
            <w:r>
              <w:rPr>
                <w:sz w:val="19"/>
                <w:szCs w:val="19"/>
              </w:rPr>
              <w:t xml:space="preserve">Access to real inventory and order APIs</w:t>
            </w:r>
          </w:p>
        </w:tc>
        <w:tc>
          <w:tcPr>
            <w:tcW w:w="2160" w:type="dxa"/>
          </w:tcPr>
          <w:p>
            <w:pPr>
              <w:spacing w:after="0" w:line="240" w:lineRule="auto"/>
            </w:pPr>
            <w:r>
              <w:rPr>
                <w:sz w:val="19"/>
                <w:szCs w:val="19"/>
              </w:rPr>
              <w:t xml:space="preserve">IT / Platform</w:t>
            </w:r>
          </w:p>
        </w:tc>
        <w:tc>
          <w:tcPr>
            <w:tcW w:w="1400" w:type="dxa"/>
          </w:tcPr>
          <w:p>
            <w:pPr>
              <w:spacing w:after="0" w:line="240" w:lineRule="auto"/>
            </w:pPr>
            <w:r>
              <w:rPr>
                <w:sz w:val="19"/>
                <w:szCs w:val="19"/>
              </w:rPr>
              <w:t xml:space="preserve">Pilot</w:t>
            </w:r>
          </w:p>
        </w:tc>
        <w:tc>
          <w:tcPr>
            <w:tcW w:w="1300" w:type="dxa"/>
          </w:tcPr>
          <w:p>
            <w:pPr>
              <w:spacing w:after="0" w:line="240" w:lineRule="auto"/>
            </w:pPr>
            <w:r>
              <w:rPr>
                <w:sz w:val="19"/>
                <w:szCs w:val="19"/>
              </w:rPr>
              <w:t xml:space="preserve">Open</w:t>
            </w:r>
          </w:p>
        </w:tc>
      </w:tr>
      <w:tr>
        <w:trPr>
          <w:cantSplit/>
        </w:trPr>
        <w:tc>
          <w:tcPr>
            <w:tcW w:w="700" w:type="dxa"/>
          </w:tcPr>
          <w:p>
            <w:pPr>
              <w:spacing w:after="0" w:line="240" w:lineRule="auto"/>
            </w:pPr>
            <w:r>
              <w:rPr>
                <w:sz w:val="19"/>
                <w:szCs w:val="19"/>
              </w:rPr>
              <w:t xml:space="preserve">D4</w:t>
            </w:r>
          </w:p>
        </w:tc>
        <w:tc>
          <w:tcPr>
            <w:tcW w:w="3800" w:type="dxa"/>
          </w:tcPr>
          <w:p>
            <w:pPr>
              <w:spacing w:after="0" w:line="240" w:lineRule="auto"/>
            </w:pPr>
            <w:r>
              <w:rPr>
                <w:sz w:val="19"/>
                <w:szCs w:val="19"/>
              </w:rPr>
              <w:t xml:space="preserve">UAE-region hosting and residency review</w:t>
            </w:r>
          </w:p>
        </w:tc>
        <w:tc>
          <w:tcPr>
            <w:tcW w:w="2160" w:type="dxa"/>
          </w:tcPr>
          <w:p>
            <w:pPr>
              <w:spacing w:after="0" w:line="240" w:lineRule="auto"/>
            </w:pPr>
            <w:r>
              <w:rPr>
                <w:sz w:val="19"/>
                <w:szCs w:val="19"/>
              </w:rPr>
              <w:t xml:space="preserve">Security &amp; Compliance</w:t>
            </w:r>
          </w:p>
        </w:tc>
        <w:tc>
          <w:tcPr>
            <w:tcW w:w="1400" w:type="dxa"/>
          </w:tcPr>
          <w:p>
            <w:pPr>
              <w:spacing w:after="0" w:line="240" w:lineRule="auto"/>
            </w:pPr>
            <w:r>
              <w:rPr>
                <w:sz w:val="19"/>
                <w:szCs w:val="19"/>
              </w:rPr>
              <w:t xml:space="preserve">Pilot</w:t>
            </w:r>
          </w:p>
        </w:tc>
        <w:tc>
          <w:tcPr>
            <w:tcW w:w="1300" w:type="dxa"/>
          </w:tcPr>
          <w:p>
            <w:pPr>
              <w:spacing w:after="0" w:line="240" w:lineRule="auto"/>
            </w:pPr>
            <w:r>
              <w:rPr>
                <w:sz w:val="19"/>
                <w:szCs w:val="19"/>
              </w:rPr>
              <w:t xml:space="preserve">Open</w:t>
            </w:r>
          </w:p>
        </w:tc>
      </w:tr>
      <w:tr>
        <w:trPr>
          <w:cantSplit/>
        </w:trPr>
        <w:tc>
          <w:tcPr>
            <w:tcW w:w="700" w:type="dxa"/>
          </w:tcPr>
          <w:p>
            <w:pPr>
              <w:spacing w:after="0" w:line="240" w:lineRule="auto"/>
            </w:pPr>
            <w:r>
              <w:rPr>
                <w:sz w:val="19"/>
                <w:szCs w:val="19"/>
              </w:rPr>
              <w:t xml:space="preserve">OD1</w:t>
            </w:r>
          </w:p>
        </w:tc>
        <w:tc>
          <w:tcPr>
            <w:tcW w:w="3800" w:type="dxa"/>
          </w:tcPr>
          <w:p>
            <w:pPr>
              <w:spacing w:after="0" w:line="240" w:lineRule="auto"/>
            </w:pPr>
            <w:r>
              <w:rPr>
                <w:sz w:val="19"/>
                <w:szCs w:val="19"/>
              </w:rPr>
              <w:t xml:space="preserve">Who defines Essential Plus coverage?</w:t>
            </w:r>
          </w:p>
        </w:tc>
        <w:tc>
          <w:tcPr>
            <w:tcW w:w="2160" w:type="dxa"/>
          </w:tcPr>
          <w:p>
            <w:pPr>
              <w:spacing w:after="0" w:line="240" w:lineRule="auto"/>
            </w:pPr>
            <w:r>
              <w:rPr>
                <w:sz w:val="19"/>
                <w:szCs w:val="19"/>
              </w:rPr>
              <w:t xml:space="preserve">Policy Owner</w:t>
            </w:r>
          </w:p>
        </w:tc>
        <w:tc>
          <w:tcPr>
            <w:tcW w:w="1400" w:type="dxa"/>
          </w:tcPr>
          <w:p>
            <w:pPr>
              <w:spacing w:after="0" w:line="240" w:lineRule="auto"/>
            </w:pPr>
            <w:r>
              <w:rPr>
                <w:sz w:val="19"/>
                <w:szCs w:val="19"/>
              </w:rPr>
              <w:t xml:space="preserve">Shadow mode</w:t>
            </w:r>
          </w:p>
        </w:tc>
        <w:tc>
          <w:tcPr>
            <w:tcW w:w="1300" w:type="dxa"/>
          </w:tcPr>
          <w:p>
            <w:pPr>
              <w:spacing w:after="0" w:line="240" w:lineRule="auto"/>
            </w:pPr>
            <w:r>
              <w:rPr>
                <w:sz w:val="19"/>
                <w:szCs w:val="19"/>
              </w:rPr>
              <w:t xml:space="preserve">Open</w:t>
            </w:r>
          </w:p>
        </w:tc>
      </w:tr>
      <w:tr>
        <w:trPr>
          <w:cantSplit/>
        </w:trPr>
        <w:tc>
          <w:tcPr>
            <w:tcW w:w="700" w:type="dxa"/>
          </w:tcPr>
          <w:p>
            <w:pPr>
              <w:spacing w:after="0" w:line="240" w:lineRule="auto"/>
            </w:pPr>
            <w:r>
              <w:rPr>
                <w:sz w:val="19"/>
                <w:szCs w:val="19"/>
              </w:rPr>
              <w:t xml:space="preserve">OD6</w:t>
            </w:r>
          </w:p>
        </w:tc>
        <w:tc>
          <w:tcPr>
            <w:tcW w:w="3800" w:type="dxa"/>
          </w:tcPr>
          <w:p>
            <w:pPr>
              <w:spacing w:after="0" w:line="240" w:lineRule="auto"/>
            </w:pPr>
            <w:r>
              <w:rPr>
                <w:sz w:val="19"/>
                <w:szCs w:val="19"/>
              </w:rPr>
              <w:t xml:space="preserve">Knowledge base ownership and update cadence</w:t>
            </w:r>
          </w:p>
        </w:tc>
        <w:tc>
          <w:tcPr>
            <w:tcW w:w="2160" w:type="dxa"/>
          </w:tcPr>
          <w:p>
            <w:pPr>
              <w:spacing w:after="0" w:line="240" w:lineRule="auto"/>
            </w:pPr>
            <w:r>
              <w:rPr>
                <w:sz w:val="19"/>
                <w:szCs w:val="19"/>
              </w:rPr>
              <w:t xml:space="preserve">Product Manager</w:t>
            </w:r>
          </w:p>
        </w:tc>
        <w:tc>
          <w:tcPr>
            <w:tcW w:w="1400" w:type="dxa"/>
          </w:tcPr>
          <w:p>
            <w:pPr>
              <w:spacing w:after="0" w:line="240" w:lineRule="auto"/>
            </w:pPr>
            <w:r>
              <w:rPr>
                <w:sz w:val="19"/>
                <w:szCs w:val="19"/>
              </w:rPr>
              <w:t xml:space="preserve">Shadow mode</w:t>
            </w:r>
          </w:p>
        </w:tc>
        <w:tc>
          <w:tcPr>
            <w:tcW w:w="1300" w:type="dxa"/>
          </w:tcPr>
          <w:p>
            <w:pPr>
              <w:spacing w:after="0" w:line="240" w:lineRule="auto"/>
            </w:pPr>
            <w:r>
              <w:rPr>
                <w:sz w:val="19"/>
                <w:szCs w:val="19"/>
              </w:rPr>
              <w:t xml:space="preserve">Open</w:t>
            </w:r>
          </w:p>
        </w:tc>
      </w:tr>
      <w:tr>
        <w:trPr>
          <w:cantSplit/>
        </w:trPr>
        <w:tc>
          <w:tcPr>
            <w:tcW w:w="700" w:type="dxa"/>
          </w:tcPr>
          <w:p>
            <w:pPr>
              <w:spacing w:after="0" w:line="240" w:lineRule="auto"/>
            </w:pPr>
            <w:r>
              <w:rPr>
                <w:sz w:val="19"/>
                <w:szCs w:val="19"/>
              </w:rPr>
              <w:t xml:space="preserve">OD7</w:t>
            </w:r>
          </w:p>
        </w:tc>
        <w:tc>
          <w:tcPr>
            <w:tcW w:w="3800" w:type="dxa"/>
          </w:tcPr>
          <w:p>
            <w:pPr>
              <w:spacing w:after="0" w:line="240" w:lineRule="auto"/>
            </w:pPr>
            <w:r>
              <w:rPr>
                <w:sz w:val="19"/>
                <w:szCs w:val="19"/>
              </w:rPr>
              <w:t xml:space="preserve">Refusal target: ≥95% with human review</w:t>
            </w:r>
          </w:p>
        </w:tc>
        <w:tc>
          <w:tcPr>
            <w:tcW w:w="2160" w:type="dxa"/>
          </w:tcPr>
          <w:p>
            <w:pPr>
              <w:spacing w:after="0" w:line="240" w:lineRule="auto"/>
            </w:pPr>
            <w:r>
              <w:rPr>
                <w:sz w:val="19"/>
                <w:szCs w:val="19"/>
              </w:rPr>
              <w:t xml:space="preserve">Product Manager</w:t>
            </w:r>
          </w:p>
        </w:tc>
        <w:tc>
          <w:tcPr>
            <w:tcW w:w="1400" w:type="dxa"/>
          </w:tcPr>
          <w:p>
            <w:pPr>
              <w:spacing w:after="0" w:line="240" w:lineRule="auto"/>
            </w:pPr>
            <w:r>
              <w:rPr>
                <w:sz w:val="19"/>
                <w:szCs w:val="19"/>
              </w:rPr>
              <w:t xml:space="preserve">Shadow mode</w:t>
            </w:r>
          </w:p>
        </w:tc>
        <w:tc>
          <w:tcPr>
            <w:tcW w:w="1300" w:type="dxa"/>
          </w:tcPr>
          <w:p>
            <w:pPr>
              <w:spacing w:after="0" w:line="240" w:lineRule="auto"/>
            </w:pPr>
            <w:r>
              <w:rPr>
                <w:sz w:val="19"/>
                <w:szCs w:val="19"/>
              </w:rPr>
              <w:t xml:space="preserve">Open</w:t>
            </w:r>
          </w:p>
        </w:tc>
      </w:tr>
    </w:tbl>
    <w:p>
      <w:pPr>
        <w:spacing w:after="0"/>
      </w:pPr>
    </w:p>
    <w:p>
      <w:pPr>
        <w:pStyle w:val="Heading1"/>
      </w:pPr>
      <w:r>
        <w:t xml:space="preserve">Cost and Effort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3900"/>
        <w:gridCol w:w="5460"/>
      </w:tblGrid>
      <w:tr>
        <w:trPr>
          <w:tblHeader/>
        </w:trPr>
        <w:tc>
          <w:tcPr>
            <w:tcW w:w="3900" w:type="dxa"/>
            <w:shd w:val="clear" w:color="auto" w:fill="E8EEF4"/>
          </w:tcPr>
          <w:p>
            <w:pPr>
              <w:spacing w:after="0" w:line="240" w:lineRule="auto"/>
            </w:pPr>
            <w:r>
              <w:rPr>
                <w:b/>
                <w:bCs/>
                <w:sz w:val="19"/>
                <w:szCs w:val="19"/>
              </w:rPr>
              <w:t xml:space="preserve">Item</w:t>
            </w:r>
          </w:p>
        </w:tc>
        <w:tc>
          <w:tcPr>
            <w:tcW w:w="5460" w:type="dxa"/>
            <w:shd w:val="clear" w:color="auto" w:fill="E8EEF4"/>
          </w:tcPr>
          <w:p>
            <w:pPr>
              <w:spacing w:after="0" w:line="240" w:lineRule="auto"/>
            </w:pPr>
            <w:r>
              <w:rPr>
                <w:b/>
                <w:bCs/>
                <w:sz w:val="19"/>
                <w:szCs w:val="19"/>
              </w:rPr>
              <w:t xml:space="preserve">v1.0</w:t>
            </w:r>
          </w:p>
        </w:tc>
      </w:tr>
      <w:tr>
        <w:trPr>
          <w:cantSplit/>
        </w:trPr>
        <w:tc>
          <w:tcPr>
            <w:tcW w:w="3900" w:type="dxa"/>
          </w:tcPr>
          <w:p>
            <w:pPr>
              <w:spacing w:after="0" w:line="240" w:lineRule="auto"/>
            </w:pPr>
            <w:r>
              <w:rPr>
                <w:sz w:val="19"/>
                <w:szCs w:val="19"/>
              </w:rPr>
              <w:t xml:space="preserve">Model usage (embeddings, answers, routing, all evaluation runs)</w:t>
            </w:r>
          </w:p>
        </w:tc>
        <w:tc>
          <w:tcPr>
            <w:tcW w:w="5460" w:type="dxa"/>
          </w:tcPr>
          <w:p>
            <w:pPr>
              <w:spacing w:after="0" w:line="240" w:lineRule="auto"/>
            </w:pPr>
            <w:r>
              <w:rPr>
                <w:sz w:val="19"/>
                <w:szCs w:val="19"/>
              </w:rPr>
              <w:t xml:space="preserve">Well under $1 (estimate; confirm in Azure Cost Management)</w:t>
            </w:r>
          </w:p>
        </w:tc>
      </w:tr>
      <w:tr>
        <w:trPr>
          <w:cantSplit/>
        </w:trPr>
        <w:tc>
          <w:tcPr>
            <w:tcW w:w="3900" w:type="dxa"/>
          </w:tcPr>
          <w:p>
            <w:pPr>
              <w:spacing w:after="0" w:line="240" w:lineRule="auto"/>
            </w:pPr>
            <w:r>
              <w:rPr>
                <w:sz w:val="19"/>
                <w:szCs w:val="19"/>
              </w:rPr>
              <w:t xml:space="preserve">Infrastructure</w:t>
            </w:r>
          </w:p>
        </w:tc>
        <w:tc>
          <w:tcPr>
            <w:tcW w:w="5460" w:type="dxa"/>
          </w:tcPr>
          <w:p>
            <w:pPr>
              <w:spacing w:after="0" w:line="240" w:lineRule="auto"/>
            </w:pPr>
            <w:r>
              <w:rPr>
                <w:sz w:val="19"/>
                <w:szCs w:val="19"/>
              </w:rPr>
              <w:t xml:space="preserve">$0: GitHub Codespaces free tier; mock APIs and app run in the codespace</w:t>
            </w:r>
          </w:p>
        </w:tc>
      </w:tr>
      <w:tr>
        <w:trPr>
          <w:cantSplit/>
        </w:trPr>
        <w:tc>
          <w:tcPr>
            <w:tcW w:w="3900" w:type="dxa"/>
          </w:tcPr>
          <w:p>
            <w:pPr>
              <w:spacing w:after="0" w:line="240" w:lineRule="auto"/>
            </w:pPr>
            <w:r>
              <w:rPr>
                <w:sz w:val="19"/>
                <w:szCs w:val="19"/>
              </w:rPr>
              <w:t xml:space="preserve">Cost per answered question (production estimate)</w:t>
            </w:r>
          </w:p>
        </w:tc>
        <w:tc>
          <w:tcPr>
            <w:tcW w:w="5460" w:type="dxa"/>
          </w:tcPr>
          <w:p>
            <w:pPr>
              <w:spacing w:after="0" w:line="240" w:lineRule="auto"/>
            </w:pPr>
            <w:r>
              <w:rPr>
                <w:sz w:val="19"/>
                <w:szCs w:val="19"/>
              </w:rPr>
              <w:t xml:space="preserve">≈ $0.0004, plus ≈ $0.0002 per LLM routing call</w:t>
            </w:r>
          </w:p>
        </w:tc>
      </w:tr>
      <w:tr>
        <w:trPr>
          <w:cantSplit/>
        </w:trPr>
        <w:tc>
          <w:tcPr>
            <w:tcW w:w="3900" w:type="dxa"/>
          </w:tcPr>
          <w:p>
            <w:pPr>
              <w:spacing w:after="0" w:line="240" w:lineRule="auto"/>
            </w:pPr>
            <w:r>
              <w:rPr>
                <w:sz w:val="19"/>
                <w:szCs w:val="19"/>
              </w:rPr>
              <w:t xml:space="preserve">Elapsed time</w:t>
            </w:r>
          </w:p>
        </w:tc>
        <w:tc>
          <w:tcPr>
            <w:tcW w:w="5460" w:type="dxa"/>
          </w:tcPr>
          <w:p>
            <w:pPr>
              <w:spacing w:after="0" w:line="240" w:lineRule="auto"/>
            </w:pPr>
            <w:r>
              <w:rPr>
                <w:sz w:val="19"/>
                <w:szCs w:val="19"/>
              </w:rPr>
              <w:t xml:space="preserve">About one week (2–8 October 2026), including cloud setup</w:t>
            </w:r>
          </w:p>
        </w:tc>
      </w:tr>
      <w:tr>
        <w:trPr>
          <w:cantSplit/>
        </w:trPr>
        <w:tc>
          <w:tcPr>
            <w:tcW w:w="3900" w:type="dxa"/>
          </w:tcPr>
          <w:p>
            <w:pPr>
              <w:spacing w:after="0" w:line="240" w:lineRule="auto"/>
            </w:pPr>
            <w:r>
              <w:rPr>
                <w:sz w:val="19"/>
                <w:szCs w:val="19"/>
              </w:rPr>
              <w:t xml:space="preserve">Unplanned effort</w:t>
            </w:r>
          </w:p>
        </w:tc>
        <w:tc>
          <w:tcPr>
            <w:tcW w:w="5460" w:type="dxa"/>
          </w:tcPr>
          <w:p>
            <w:pPr>
              <w:spacing w:after="0" w:line="240" w:lineRule="auto"/>
            </w:pPr>
            <w:r>
              <w:rPr>
                <w:sz w:val="19"/>
                <w:szCs w:val="19"/>
              </w:rPr>
              <w:t xml:space="preserve">AWS account access (several days blocked); Azure trial quota; prompt-tuning iterations</w:t>
            </w:r>
          </w:p>
        </w:tc>
      </w:tr>
      <w:tr>
        <w:trPr>
          <w:cantSplit/>
        </w:trPr>
        <w:tc>
          <w:tcPr>
            <w:tcW w:w="3900" w:type="dxa"/>
          </w:tcPr>
          <w:p>
            <w:pPr>
              <w:spacing w:after="0" w:line="240" w:lineRule="auto"/>
            </w:pPr>
            <w:r>
              <w:rPr>
                <w:sz w:val="19"/>
                <w:szCs w:val="19"/>
              </w:rPr>
              <w:t xml:space="preserve">Quality assets</w:t>
            </w:r>
          </w:p>
        </w:tc>
        <w:tc>
          <w:tcPr>
            <w:tcW w:w="5460" w:type="dxa"/>
          </w:tcPr>
          <w:p>
            <w:pPr>
              <w:spacing w:after="0" w:line="240" w:lineRule="auto"/>
            </w:pPr>
            <w:r>
              <w:rPr>
                <w:sz w:val="19"/>
                <w:szCs w:val="19"/>
              </w:rPr>
              <w:t xml:space="preserve">167 automated tests; 42-question test set; 15-question held-out set; RAID log</w:t>
            </w:r>
          </w:p>
        </w:tc>
      </w:tr>
    </w:tbl>
    <w:p>
      <w:pPr>
        <w:spacing w:after="0"/>
      </w:pPr>
    </w:p>
    <w:p>
      <w:pPr>
        <w:pStyle w:val="Heading1"/>
      </w:pPr>
      <w:r>
        <w:t xml:space="preserve">Retrospective</w:t>
      </w:r>
    </w:p>
    <w:p>
      <w:pPr>
        <w:pStyle w:val="Heading2"/>
      </w:pPr>
      <w:r>
        <w:t xml:space="preserve">What went well</w:t>
      </w:r>
    </w:p>
    <w:p>
      <w:pPr>
        <w:pStyle w:val="ListParagraph"/>
        <w:numPr>
          <w:ilvl w:val="0"/>
          <w:numId w:val="2"/>
        </w:numPr>
        <w:spacing w:after="60"/>
      </w:pPr>
      <w:r>
        <w:rPr>
          <w:b/>
          <w:bCs/>
        </w:rPr>
        <w:t xml:space="preserve">Evaluation first. </w:t>
      </w:r>
      <w:r>
        <w:t xml:space="preserve">Writing the test set before building turned every decision into a measurement and caught problems a demo would have hidden.</w:t>
      </w:r>
    </w:p>
    <w:p>
      <w:pPr>
        <w:pStyle w:val="ListParagraph"/>
        <w:numPr>
          <w:ilvl w:val="0"/>
          <w:numId w:val="2"/>
        </w:numPr>
        <w:spacing w:after="60"/>
      </w:pPr>
      <w:r>
        <w:rPr>
          <w:b/>
          <w:bCs/>
        </w:rPr>
        <w:t xml:space="preserve">Local-first, zero-cost build. </w:t>
      </w:r>
      <w:r>
        <w:t xml:space="preserve">The whole pipeline was built and tested without an LLM, so the cloud phase only added models to a working system.</w:t>
      </w:r>
    </w:p>
    <w:p>
      <w:pPr>
        <w:pStyle w:val="ListParagraph"/>
        <w:numPr>
          <w:ilvl w:val="0"/>
          <w:numId w:val="2"/>
        </w:numPr>
        <w:spacing w:after="60"/>
      </w:pPr>
      <w:r>
        <w:rPr>
          <w:b/>
          <w:bCs/>
        </w:rPr>
        <w:t xml:space="preserve">Held-out set. </w:t>
      </w:r>
      <w:r>
        <w:t xml:space="preserve">It exposed the rule router's overfitting (100% vs 80%) and made the LLM router's value measurable.</w:t>
      </w:r>
    </w:p>
    <w:p>
      <w:pPr>
        <w:pStyle w:val="ListParagraph"/>
        <w:numPr>
          <w:ilvl w:val="0"/>
          <w:numId w:val="2"/>
        </w:numPr>
        <w:spacing w:after="60"/>
      </w:pPr>
      <w:r>
        <w:rPr>
          <w:b/>
          <w:bCs/>
        </w:rPr>
        <w:t xml:space="preserve">Provider-agnostic design. </w:t>
      </w:r>
      <w:r>
        <w:t xml:space="preserve">Switching from AWS to Azure was a configuration change.</w:t>
      </w:r>
    </w:p>
    <w:p>
      <w:pPr>
        <w:pStyle w:val="ListParagraph"/>
        <w:numPr>
          <w:ilvl w:val="0"/>
          <w:numId w:val="2"/>
        </w:numPr>
        <w:spacing w:after="60"/>
      </w:pPr>
      <w:r>
        <w:rPr>
          <w:b/>
          <w:bCs/>
        </w:rPr>
        <w:t xml:space="preserve">Content audit. </w:t>
      </w:r>
      <w:r>
        <w:t xml:space="preserve">It predicted the hardest failures (the Essential Plus gap, two policy conflicts) before any code existed.</w:t>
      </w:r>
    </w:p>
    <w:p>
      <w:pPr>
        <w:pStyle w:val="Heading2"/>
      </w:pPr>
      <w:r>
        <w:t xml:space="preserve">What didn't go well</w:t>
      </w:r>
    </w:p>
    <w:p>
      <w:pPr>
        <w:pStyle w:val="ListParagraph"/>
        <w:numPr>
          <w:ilvl w:val="0"/>
          <w:numId w:val="2"/>
        </w:numPr>
        <w:spacing w:after="60"/>
      </w:pPr>
      <w:r>
        <w:rPr>
          <w:b/>
          <w:bCs/>
        </w:rPr>
        <w:t xml:space="preserve">Cloud access. </w:t>
      </w:r>
      <w:r>
        <w:t xml:space="preserve">Bedrock was blocked for days on a new AWS account; Azure free trials have zero model quota.</w:t>
      </w:r>
    </w:p>
    <w:p>
      <w:pPr>
        <w:pStyle w:val="ListParagraph"/>
        <w:numPr>
          <w:ilvl w:val="0"/>
          <w:numId w:val="2"/>
        </w:numPr>
        <w:spacing w:after="60"/>
      </w:pPr>
      <w:r>
        <w:rPr>
          <w:b/>
          <w:bCs/>
        </w:rPr>
        <w:t xml:space="preserve">Prompt-tuning whack-a-mole. </w:t>
      </w:r>
      <w:r>
        <w:t xml:space="preserve">Three rounds of prompt rules moved misses around rather than removing them.</w:t>
      </w:r>
    </w:p>
    <w:p>
      <w:pPr>
        <w:pStyle w:val="ListParagraph"/>
        <w:numPr>
          <w:ilvl w:val="0"/>
          <w:numId w:val="2"/>
        </w:numPr>
        <w:spacing w:after="60"/>
      </w:pPr>
      <w:r>
        <w:rPr>
          <w:b/>
          <w:bCs/>
        </w:rPr>
        <w:t xml:space="preserve">Self-inflicted stale index. </w:t>
      </w:r>
      <w:r>
        <w:t xml:space="preserve">A test edit to a policy document was reverted, but the index wasn't rebuilt, so the assistant kept serving the old text.</w:t>
      </w:r>
    </w:p>
    <w:p>
      <w:pPr>
        <w:pStyle w:val="ListParagraph"/>
        <w:numPr>
          <w:ilvl w:val="0"/>
          <w:numId w:val="2"/>
        </w:numPr>
        <w:spacing w:after="60"/>
      </w:pPr>
      <w:r>
        <w:rPr>
          <w:b/>
          <w:bCs/>
        </w:rPr>
        <w:t xml:space="preserve">Manual code handover. </w:t>
      </w:r>
      <w:r>
        <w:t xml:space="preserve">Moving code by zip files instead of pull requests was error-prone and made changes harder to review.</w:t>
      </w:r>
    </w:p>
    <w:p>
      <w:pPr>
        <w:pStyle w:val="Heading2"/>
      </w:pPr>
      <w:r>
        <w:t xml:space="preserve">What I'd do differently</w:t>
      </w:r>
    </w:p>
    <w:p>
      <w:pPr>
        <w:pStyle w:val="ListParagraph"/>
        <w:numPr>
          <w:ilvl w:val="0"/>
          <w:numId w:val="2"/>
        </w:numPr>
        <w:spacing w:after="60"/>
      </w:pPr>
      <w:r>
        <w:t xml:space="preserve">Verify model access on day one, before designing around a provider.</w:t>
      </w:r>
    </w:p>
    <w:p>
      <w:pPr>
        <w:pStyle w:val="ListParagraph"/>
        <w:numPr>
          <w:ilvl w:val="0"/>
          <w:numId w:val="2"/>
        </w:numPr>
        <w:spacing w:after="60"/>
      </w:pPr>
      <w:r>
        <w:t xml:space="preserve">Version the test set's expected answers with the knowledge base, and automate re-ingest from the start.</w:t>
      </w:r>
    </w:p>
    <w:p>
      <w:pPr>
        <w:pStyle w:val="ListParagraph"/>
        <w:numPr>
          <w:ilvl w:val="0"/>
          <w:numId w:val="2"/>
        </w:numPr>
        <w:spacing w:after="60"/>
      </w:pPr>
      <w:r>
        <w:t xml:space="preserve">Set a stop rule for prompt tuning: at most two iterations, each validated on questions not used to tune it.</w:t>
      </w:r>
    </w:p>
    <w:p>
      <w:pPr>
        <w:pStyle w:val="ListParagraph"/>
        <w:numPr>
          <w:ilvl w:val="0"/>
          <w:numId w:val="2"/>
        </w:numPr>
        <w:spacing w:after="60"/>
      </w:pPr>
      <w:r>
        <w:t xml:space="preserve">Give each LLM call one narrow decision from the start (as the router does), rather than one prompt doing everything.</w:t>
      </w:r>
    </w:p>
    <w:p>
      <w:pPr>
        <w:pStyle w:val="ListParagraph"/>
        <w:numPr>
          <w:ilvl w:val="0"/>
          <w:numId w:val="2"/>
        </w:numPr>
        <w:spacing w:after="60"/>
      </w:pPr>
      <w:r>
        <w:t xml:space="preserve">Use a pull-request workflow from the first commit.</w:t>
      </w:r>
    </w:p>
    <w:p>
      <w:pPr>
        <w:pStyle w:val="Heading1"/>
      </w:pPr>
      <w:r>
        <w:t xml:space="preserve">Next Steps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1900"/>
        <w:gridCol w:w="5560"/>
        <w:gridCol w:w="1900"/>
      </w:tblGrid>
      <w:tr>
        <w:trPr>
          <w:tblHeader/>
        </w:trPr>
        <w:tc>
          <w:tcPr>
            <w:tcW w:w="1900" w:type="dxa"/>
            <w:shd w:val="clear" w:color="auto" w:fill="E8EEF4"/>
          </w:tcPr>
          <w:p>
            <w:pPr>
              <w:spacing w:after="0" w:line="240" w:lineRule="auto"/>
            </w:pPr>
            <w:r>
              <w:rPr>
                <w:b/>
                <w:bCs/>
                <w:sz w:val="19"/>
                <w:szCs w:val="19"/>
              </w:rPr>
              <w:t xml:space="preserve">When</w:t>
            </w:r>
          </w:p>
        </w:tc>
        <w:tc>
          <w:tcPr>
            <w:tcW w:w="5560" w:type="dxa"/>
            <w:shd w:val="clear" w:color="auto" w:fill="E8EEF4"/>
          </w:tcPr>
          <w:p>
            <w:pPr>
              <w:spacing w:after="0" w:line="240" w:lineRule="auto"/>
            </w:pPr>
            <w:r>
              <w:rPr>
                <w:b/>
                <w:bCs/>
                <w:sz w:val="19"/>
                <w:szCs w:val="19"/>
              </w:rPr>
              <w:t xml:space="preserve">Action</w:t>
            </w:r>
          </w:p>
        </w:tc>
        <w:tc>
          <w:tcPr>
            <w:tcW w:w="1900" w:type="dxa"/>
            <w:shd w:val="clear" w:color="auto" w:fill="E8EEF4"/>
          </w:tcPr>
          <w:p>
            <w:pPr>
              <w:spacing w:after="0" w:line="240" w:lineRule="auto"/>
            </w:pPr>
            <w:r>
              <w:rPr>
                <w:b/>
                <w:bCs/>
                <w:sz w:val="19"/>
                <w:szCs w:val="19"/>
              </w:rPr>
              <w:t xml:space="preserve">Owner</w:t>
            </w:r>
          </w:p>
        </w:tc>
      </w:tr>
      <w:tr>
        <w:trPr>
          <w:cantSplit/>
        </w:trPr>
        <w:tc>
          <w:tcPr>
            <w:tcW w:w="1900" w:type="dxa"/>
          </w:tcPr>
          <w:p>
            <w:pPr>
              <w:spacing w:after="0" w:line="240" w:lineRule="auto"/>
            </w:pPr>
            <w:r>
              <w:rPr>
                <w:sz w:val="19"/>
                <w:szCs w:val="19"/>
              </w:rPr>
              <w:t xml:space="preserve">Before shadow mode</w:t>
            </w:r>
          </w:p>
        </w:tc>
        <w:tc>
          <w:tcPr>
            <w:tcW w:w="5560" w:type="dxa"/>
          </w:tcPr>
          <w:p>
            <w:pPr>
              <w:spacing w:after="0" w:line="240" w:lineRule="auto"/>
            </w:pPr>
            <w:r>
              <w:rPr>
                <w:sz w:val="19"/>
                <w:szCs w:val="19"/>
              </w:rPr>
              <w:t xml:space="preserve">Policy owner defines Essential Plus coverage (D1); re-run evaluation 3 times with zero confident-wrong answers</w:t>
            </w:r>
          </w:p>
        </w:tc>
        <w:tc>
          <w:tcPr>
            <w:tcW w:w="1900" w:type="dxa"/>
          </w:tcPr>
          <w:p>
            <w:pPr>
              <w:spacing w:after="0" w:line="240" w:lineRule="auto"/>
            </w:pPr>
            <w:r>
              <w:rPr>
                <w:sz w:val="19"/>
                <w:szCs w:val="19"/>
              </w:rPr>
              <w:t xml:space="preserve">Policy Owner; PM</w:t>
            </w:r>
          </w:p>
        </w:tc>
      </w:tr>
      <w:tr>
        <w:trPr>
          <w:cantSplit/>
        </w:trPr>
        <w:tc>
          <w:tcPr>
            <w:tcW w:w="1900" w:type="dxa"/>
          </w:tcPr>
          <w:p>
            <w:pPr>
              <w:spacing w:after="0" w:line="240" w:lineRule="auto"/>
            </w:pPr>
            <w:r>
              <w:rPr>
                <w:sz w:val="19"/>
                <w:szCs w:val="19"/>
              </w:rPr>
              <w:t xml:space="preserve">Before shadow mode</w:t>
            </w:r>
          </w:p>
        </w:tc>
        <w:tc>
          <w:tcPr>
            <w:tcW w:w="5560" w:type="dxa"/>
          </w:tcPr>
          <w:p>
            <w:pPr>
              <w:spacing w:after="0" w:line="240" w:lineRule="auto"/>
            </w:pPr>
            <w:r>
              <w:rPr>
                <w:sz w:val="19"/>
                <w:szCs w:val="19"/>
              </w:rPr>
              <w:t xml:space="preserve">Manual review of judged answers; nominate weekly reviewer (D5); define escalation path (OD4)</w:t>
            </w:r>
          </w:p>
        </w:tc>
        <w:tc>
          <w:tcPr>
            <w:tcW w:w="1900" w:type="dxa"/>
          </w:tcPr>
          <w:p>
            <w:pPr>
              <w:spacing w:after="0" w:line="240" w:lineRule="auto"/>
            </w:pPr>
            <w:r>
              <w:rPr>
                <w:sz w:val="19"/>
                <w:szCs w:val="19"/>
              </w:rPr>
              <w:t xml:space="preserve">PM; Support Lead</w:t>
            </w:r>
          </w:p>
        </w:tc>
      </w:tr>
      <w:tr>
        <w:trPr>
          <w:cantSplit/>
        </w:trPr>
        <w:tc>
          <w:tcPr>
            <w:tcW w:w="1900" w:type="dxa"/>
          </w:tcPr>
          <w:p>
            <w:pPr>
              <w:spacing w:after="0" w:line="240" w:lineRule="auto"/>
            </w:pPr>
            <w:r>
              <w:rPr>
                <w:sz w:val="19"/>
                <w:szCs w:val="19"/>
              </w:rPr>
              <w:t xml:space="preserve">Before shadow mode</w:t>
            </w:r>
          </w:p>
        </w:tc>
        <w:tc>
          <w:tcPr>
            <w:tcW w:w="5560" w:type="dxa"/>
          </w:tcPr>
          <w:p>
            <w:pPr>
              <w:spacing w:after="0" w:line="240" w:lineRule="auto"/>
            </w:pPr>
            <w:r>
              <w:rPr>
                <w:sz w:val="19"/>
                <w:szCs w:val="19"/>
              </w:rPr>
              <w:t xml:space="preserve">Close AWS support case; deactivate unused AWS access key (I6)</w:t>
            </w:r>
          </w:p>
        </w:tc>
        <w:tc>
          <w:tcPr>
            <w:tcW w:w="1900" w:type="dxa"/>
          </w:tcPr>
          <w:p>
            <w:pPr>
              <w:spacing w:after="0" w:line="240" w:lineRule="auto"/>
            </w:pPr>
            <w:r>
              <w:rPr>
                <w:sz w:val="19"/>
                <w:szCs w:val="19"/>
              </w:rPr>
              <w:t xml:space="preserve">PM</w:t>
            </w:r>
          </w:p>
        </w:tc>
      </w:tr>
      <w:tr>
        <w:trPr>
          <w:cantSplit/>
        </w:trPr>
        <w:tc>
          <w:tcPr>
            <w:tcW w:w="1900" w:type="dxa"/>
          </w:tcPr>
          <w:p>
            <w:pPr>
              <w:spacing w:after="0" w:line="240" w:lineRule="auto"/>
            </w:pPr>
            <w:r>
              <w:rPr>
                <w:sz w:val="19"/>
                <w:szCs w:val="19"/>
              </w:rPr>
              <w:t xml:space="preserve">v1.1 (before pilot)</w:t>
            </w:r>
          </w:p>
        </w:tc>
        <w:tc>
          <w:tcPr>
            <w:tcW w:w="5560" w:type="dxa"/>
          </w:tcPr>
          <w:p>
            <w:pPr>
              <w:spacing w:after="0" w:line="240" w:lineRule="auto"/>
            </w:pPr>
            <w:r>
              <w:rPr>
                <w:sz w:val="19"/>
                <w:szCs w:val="19"/>
              </w:rPr>
              <w:t xml:space="preserve">Answerability check; automatic re-ingest; independent 100+ question test set; different-model judge</w:t>
            </w:r>
          </w:p>
        </w:tc>
        <w:tc>
          <w:tcPr>
            <w:tcW w:w="1900" w:type="dxa"/>
          </w:tcPr>
          <w:p>
            <w:pPr>
              <w:spacing w:after="0" w:line="240" w:lineRule="auto"/>
            </w:pPr>
            <w:r>
              <w:rPr>
                <w:sz w:val="19"/>
                <w:szCs w:val="19"/>
              </w:rPr>
              <w:t xml:space="preserve">PM + Eng</w:t>
            </w:r>
          </w:p>
        </w:tc>
      </w:tr>
      <w:tr>
        <w:trPr>
          <w:cantSplit/>
        </w:trPr>
        <w:tc>
          <w:tcPr>
            <w:tcW w:w="1900" w:type="dxa"/>
          </w:tcPr>
          <w:p>
            <w:pPr>
              <w:spacing w:after="0" w:line="240" w:lineRule="auto"/>
            </w:pPr>
            <w:r>
              <w:rPr>
                <w:sz w:val="19"/>
                <w:szCs w:val="19"/>
              </w:rPr>
              <w:t xml:space="preserve">Before pilot</w:t>
            </w:r>
          </w:p>
        </w:tc>
        <w:tc>
          <w:tcPr>
            <w:tcW w:w="5560" w:type="dxa"/>
          </w:tcPr>
          <w:p>
            <w:pPr>
              <w:spacing w:after="0" w:line="240" w:lineRule="auto"/>
            </w:pPr>
            <w:r>
              <w:rPr>
                <w:sz w:val="19"/>
                <w:szCs w:val="19"/>
              </w:rPr>
              <w:t xml:space="preserve">Real API access (D3); UAE-region hosting and data residency review (D4)</w:t>
            </w:r>
          </w:p>
        </w:tc>
        <w:tc>
          <w:tcPr>
            <w:tcW w:w="1900" w:type="dxa"/>
          </w:tcPr>
          <w:p>
            <w:pPr>
              <w:spacing w:after="0" w:line="240" w:lineRule="auto"/>
            </w:pPr>
            <w:r>
              <w:rPr>
                <w:sz w:val="19"/>
                <w:szCs w:val="19"/>
              </w:rPr>
              <w:t xml:space="preserve">IT / Platform; Security</w:t>
            </w:r>
          </w:p>
        </w:tc>
      </w:tr>
    </w:tbl>
    <w:p>
      <w:pPr>
        <w:spacing w:after="0"/>
      </w:pPr>
    </w:p>
    <w:p>
      <w:pPr>
        <w:pStyle w:val="Heading1"/>
      </w:pPr>
      <w:r>
        <w:t xml:space="preserve">Sign-off</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val="04A0" w:firstRow="1" w:lastRow="0" w:firstColumn="1" w:lastColumn="0" w:noHBand="0" w:noVBand="1"/>
      </w:tblPr>
      <w:tblGrid>
        <w:gridCol w:w="2600"/>
        <w:gridCol w:w="2600"/>
        <w:gridCol w:w="2360"/>
        <w:gridCol w:w="1800"/>
      </w:tblGrid>
      <w:tr>
        <w:trPr>
          <w:tblHeader/>
        </w:trPr>
        <w:tc>
          <w:tcPr>
            <w:tcW w:w="2600" w:type="dxa"/>
            <w:shd w:val="clear" w:color="auto" w:fill="E8EEF4"/>
          </w:tcPr>
          <w:p>
            <w:pPr>
              <w:spacing w:after="0" w:line="240" w:lineRule="auto"/>
            </w:pPr>
            <w:r>
              <w:rPr>
                <w:b/>
                <w:bCs/>
              </w:rPr>
              <w:t xml:space="preserve">Role</w:t>
            </w:r>
          </w:p>
        </w:tc>
        <w:tc>
          <w:tcPr>
            <w:tcW w:w="2600" w:type="dxa"/>
            <w:shd w:val="clear" w:color="auto" w:fill="E8EEF4"/>
          </w:tcPr>
          <w:p>
            <w:pPr>
              <w:spacing w:after="0" w:line="240" w:lineRule="auto"/>
            </w:pPr>
            <w:r>
              <w:rPr>
                <w:b/>
                <w:bCs/>
              </w:rPr>
              <w:t xml:space="preserve">Name</w:t>
            </w:r>
          </w:p>
        </w:tc>
        <w:tc>
          <w:tcPr>
            <w:tcW w:w="2360" w:type="dxa"/>
            <w:shd w:val="clear" w:color="auto" w:fill="E8EEF4"/>
          </w:tcPr>
          <w:p>
            <w:pPr>
              <w:spacing w:after="0" w:line="240" w:lineRule="auto"/>
            </w:pPr>
            <w:r>
              <w:rPr>
                <w:b/>
                <w:bCs/>
              </w:rPr>
              <w:t xml:space="preserve">Decision</w:t>
            </w:r>
          </w:p>
        </w:tc>
        <w:tc>
          <w:tcPr>
            <w:tcW w:w="1800" w:type="dxa"/>
            <w:shd w:val="clear" w:color="auto" w:fill="E8EEF4"/>
          </w:tcPr>
          <w:p>
            <w:pPr>
              <w:spacing w:after="0" w:line="240" w:lineRule="auto"/>
            </w:pPr>
            <w:r>
              <w:rPr>
                <w:b/>
                <w:bCs/>
              </w:rPr>
              <w:t xml:space="preserve">Date</w:t>
            </w:r>
          </w:p>
        </w:tc>
      </w:tr>
      <w:tr>
        <w:trPr>
          <w:cantSplit/>
        </w:trPr>
        <w:tc>
          <w:tcPr>
            <w:tcW w:w="2600" w:type="dxa"/>
          </w:tcPr>
          <w:p>
            <w:pPr>
              <w:spacing w:after="0" w:line="240" w:lineRule="auto"/>
            </w:pPr>
            <w:r>
              <w:t xml:space="preserve">Product Manager</w:t>
            </w:r>
          </w:p>
        </w:tc>
        <w:tc>
          <w:tcPr>
            <w:tcW w:w="2600" w:type="dxa"/>
          </w:tcPr>
          <w:p>
            <w:pPr>
              <w:spacing w:after="0" w:line="240" w:lineRule="auto"/>
            </w:pPr>
            <w:r>
              <w:t xml:space="preserve">[Your Name]</w:t>
            </w:r>
          </w:p>
        </w:tc>
        <w:tc>
          <w:tcPr>
            <w:tcW w:w="2360" w:type="dxa"/>
          </w:tcPr>
          <w:p>
            <w:pPr>
              <w:spacing w:after="0" w:line="240" w:lineRule="auto"/>
            </w:pPr>
            <w:r>
              <w:t xml:space="preserve">Conditional go</w:t>
            </w:r>
          </w:p>
        </w:tc>
        <w:tc>
          <w:tcPr>
            <w:tcW w:w="1800" w:type="dxa"/>
          </w:tcPr>
          <w:p>
            <w:pPr>
              <w:spacing w:after="0" w:line="240" w:lineRule="auto"/>
            </w:pPr>
            <w:r>
              <w:t xml:space="preserve">[date]</w:t>
            </w:r>
          </w:p>
        </w:tc>
      </w:tr>
      <w:tr>
        <w:trPr>
          <w:cantSplit/>
        </w:trPr>
        <w:tc>
          <w:tcPr>
            <w:tcW w:w="2600" w:type="dxa"/>
          </w:tcPr>
          <w:p>
            <w:pPr>
              <w:spacing w:after="0" w:line="240" w:lineRule="auto"/>
            </w:pPr>
            <w:r>
              <w:t xml:space="preserve">Engineering lead</w:t>
            </w:r>
          </w:p>
        </w:tc>
        <w:tc>
          <w:tcPr>
            <w:tcW w:w="2600" w:type="dxa"/>
          </w:tcPr>
          <w:p>
            <w:pPr>
              <w:spacing w:after="0" w:line="240" w:lineRule="auto"/>
            </w:pPr>
            <w:r>
              <w:t xml:space="preserve">[name]</w:t>
            </w:r>
          </w:p>
        </w:tc>
        <w:tc>
          <w:tcPr>
            <w:tcW w:w="2360" w:type="dxa"/>
          </w:tcPr>
          <w:p>
            <w:pPr>
              <w:spacing w:after="0" w:line="240" w:lineRule="auto"/>
            </w:pPr>
            <w:r>
              <w:t xml:space="preserve"/>
            </w:r>
          </w:p>
        </w:tc>
        <w:tc>
          <w:tcPr>
            <w:tcW w:w="1800" w:type="dxa"/>
          </w:tcPr>
          <w:p>
            <w:pPr>
              <w:spacing w:after="0" w:line="240" w:lineRule="auto"/>
            </w:pPr>
            <w:r>
              <w:t xml:space="preserve"/>
            </w:r>
          </w:p>
        </w:tc>
      </w:tr>
      <w:tr>
        <w:trPr>
          <w:cantSplit/>
        </w:trPr>
        <w:tc>
          <w:tcPr>
            <w:tcW w:w="2600" w:type="dxa"/>
          </w:tcPr>
          <w:p>
            <w:pPr>
              <w:spacing w:after="0" w:line="240" w:lineRule="auto"/>
            </w:pPr>
            <w:r>
              <w:t xml:space="preserve">Support lead</w:t>
            </w:r>
          </w:p>
        </w:tc>
        <w:tc>
          <w:tcPr>
            <w:tcW w:w="2600" w:type="dxa"/>
          </w:tcPr>
          <w:p>
            <w:pPr>
              <w:spacing w:after="0" w:line="240" w:lineRule="auto"/>
            </w:pPr>
            <w:r>
              <w:t xml:space="preserve">[name]</w:t>
            </w:r>
          </w:p>
        </w:tc>
        <w:tc>
          <w:tcPr>
            <w:tcW w:w="2360" w:type="dxa"/>
          </w:tcPr>
          <w:p>
            <w:pPr>
              <w:spacing w:after="0" w:line="240" w:lineRule="auto"/>
            </w:pPr>
            <w:r>
              <w:t xml:space="preserve"/>
            </w:r>
          </w:p>
        </w:tc>
        <w:tc>
          <w:tcPr>
            <w:tcW w:w="1800" w:type="dxa"/>
          </w:tcPr>
          <w:p>
            <w:pPr>
              <w:spacing w:after="0" w:line="240" w:lineRule="auto"/>
            </w:pPr>
            <w:r>
              <w:t xml:space="preserve"/>
            </w:r>
          </w:p>
        </w:tc>
      </w:tr>
      <w:tr>
        <w:trPr>
          <w:cantSplit/>
        </w:trPr>
        <w:tc>
          <w:tcPr>
            <w:tcW w:w="2600" w:type="dxa"/>
          </w:tcPr>
          <w:p>
            <w:pPr>
              <w:spacing w:after="0" w:line="240" w:lineRule="auto"/>
            </w:pPr>
            <w:r>
              <w:t xml:space="preserve">Policy owner</w:t>
            </w:r>
          </w:p>
        </w:tc>
        <w:tc>
          <w:tcPr>
            <w:tcW w:w="2600" w:type="dxa"/>
          </w:tcPr>
          <w:p>
            <w:pPr>
              <w:spacing w:after="0" w:line="240" w:lineRule="auto"/>
            </w:pPr>
            <w:r>
              <w:t xml:space="preserve">[name]</w:t>
            </w:r>
          </w:p>
        </w:tc>
        <w:tc>
          <w:tcPr>
            <w:tcW w:w="2360" w:type="dxa"/>
          </w:tcPr>
          <w:p>
            <w:pPr>
              <w:spacing w:after="0" w:line="240" w:lineRule="auto"/>
            </w:pPr>
            <w:r>
              <w:t xml:space="preserve"/>
            </w:r>
          </w:p>
        </w:tc>
        <w:tc>
          <w:tcPr>
            <w:tcW w:w="1800" w:type="dxa"/>
          </w:tcPr>
          <w:p>
            <w:pPr>
              <w:spacing w:after="0" w:line="240" w:lineRule="auto"/>
            </w:pPr>
            <w:r>
              <w:t xml:space="preserve"/>
            </w:r>
          </w:p>
        </w:tc>
      </w:tr>
    </w:tbl>
    <w:p>
      <w:pPr>
        <w:spacing w:after="0"/>
      </w:pPr>
    </w:p>
    <w:p>
      <w:pPr>
        <w:spacing w:after="120"/>
      </w:pPr>
      <w:r>
        <w:rPr>
          <w:i/>
          <w:iCs/>
        </w:rPr>
        <w:t xml:space="preserve">Portfolio note: this review uses synthetic data and fictional roles; it demonstrates the milestone governance a product of this kind would need.</w:t>
      </w:r>
    </w:p>
    <w:sectPr w:rsidR="00B174D8" w:rsidRPr="00B17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91F8E"/>
    <w:multiLevelType w:val="multilevel"/>
    <w:tmpl w:val="9B54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96875"/>
    <w:multiLevelType w:val="multilevel"/>
    <w:tmpl w:val="162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C1197"/>
    <w:multiLevelType w:val="multilevel"/>
    <w:tmpl w:val="18C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8749C"/>
    <w:multiLevelType w:val="multilevel"/>
    <w:tmpl w:val="AC6A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545A91"/>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99150399">
    <w:abstractNumId w:val="4"/>
  </w:num>
  <w:num w:numId="2" w16cid:durableId="1631520307">
    <w:abstractNumId w:val="2"/>
  </w:num>
  <w:num w:numId="3" w16cid:durableId="1507138248">
    <w:abstractNumId w:val="0"/>
  </w:num>
  <w:num w:numId="4" w16cid:durableId="1179929630">
    <w:abstractNumId w:val="3"/>
  </w:num>
  <w:num w:numId="5" w16cid:durableId="180508124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4E"/>
    <w:rsid w:val="000E6B17"/>
    <w:rsid w:val="003A4C83"/>
    <w:rsid w:val="00485B30"/>
    <w:rsid w:val="006144E8"/>
    <w:rsid w:val="008771EB"/>
    <w:rsid w:val="00881809"/>
    <w:rsid w:val="008B2489"/>
    <w:rsid w:val="00A9724E"/>
    <w:rsid w:val="00B174D8"/>
    <w:rsid w:val="00D75B86"/>
    <w:rsid w:val="00D95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C3E6B6"/>
  <w15:chartTrackingRefBased/>
  <w15:docId w15:val="{7A6C8656-EFA8-5343-8F63-345A7A9E0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24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724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24E"/>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24E"/>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24E"/>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24E"/>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24E"/>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24E"/>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24E"/>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7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24E"/>
    <w:rPr>
      <w:rFonts w:eastAsiaTheme="majorEastAsia" w:cstheme="majorBidi"/>
      <w:color w:val="272727" w:themeColor="text1" w:themeTint="D8"/>
    </w:rPr>
  </w:style>
  <w:style w:type="paragraph" w:styleId="Title">
    <w:name w:val="Title"/>
    <w:basedOn w:val="Normal"/>
    <w:next w:val="Normal"/>
    <w:link w:val="TitleChar"/>
    <w:uiPriority w:val="10"/>
    <w:qFormat/>
    <w:rsid w:val="00A97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24E"/>
    <w:pPr>
      <w:spacing w:before="160"/>
      <w:jc w:val="center"/>
    </w:pPr>
    <w:rPr>
      <w:i/>
      <w:iCs/>
      <w:color w:val="404040" w:themeColor="text1" w:themeTint="BF"/>
    </w:rPr>
  </w:style>
  <w:style w:type="character" w:customStyle="1" w:styleId="QuoteChar">
    <w:name w:val="Quote Char"/>
    <w:basedOn w:val="DefaultParagraphFont"/>
    <w:link w:val="Quote"/>
    <w:uiPriority w:val="29"/>
    <w:rsid w:val="00A9724E"/>
    <w:rPr>
      <w:i/>
      <w:iCs/>
      <w:color w:val="404040" w:themeColor="text1" w:themeTint="BF"/>
    </w:rPr>
  </w:style>
  <w:style w:type="paragraph" w:styleId="ListParagraph">
    <w:name w:val="List Paragraph"/>
    <w:basedOn w:val="Normal"/>
    <w:uiPriority w:val="34"/>
    <w:qFormat/>
    <w:rsid w:val="00A9724E"/>
    <w:pPr>
      <w:ind w:left="720"/>
      <w:contextualSpacing/>
    </w:pPr>
  </w:style>
  <w:style w:type="character" w:styleId="IntenseEmphasis">
    <w:name w:val="Intense Emphasis"/>
    <w:basedOn w:val="DefaultParagraphFont"/>
    <w:uiPriority w:val="21"/>
    <w:qFormat/>
    <w:rsid w:val="00A9724E"/>
    <w:rPr>
      <w:i/>
      <w:iCs/>
      <w:color w:val="0F4761" w:themeColor="accent1" w:themeShade="BF"/>
    </w:rPr>
  </w:style>
  <w:style w:type="paragraph" w:styleId="IntenseQuote">
    <w:name w:val="Intense Quote"/>
    <w:basedOn w:val="Normal"/>
    <w:next w:val="Normal"/>
    <w:link w:val="IntenseQuoteChar"/>
    <w:uiPriority w:val="30"/>
    <w:qFormat/>
    <w:rsid w:val="00A97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24E"/>
    <w:rPr>
      <w:i/>
      <w:iCs/>
      <w:color w:val="0F4761" w:themeColor="accent1" w:themeShade="BF"/>
    </w:rPr>
  </w:style>
  <w:style w:type="character" w:styleId="IntenseReference">
    <w:name w:val="Intense Reference"/>
    <w:basedOn w:val="DefaultParagraphFont"/>
    <w:uiPriority w:val="32"/>
    <w:qFormat/>
    <w:rsid w:val="00A9724E"/>
    <w:rPr>
      <w:b/>
      <w:bCs/>
      <w:smallCaps/>
      <w:color w:val="0F4761" w:themeColor="accent1" w:themeShade="BF"/>
      <w:spacing w:val="5"/>
    </w:rPr>
  </w:style>
  <w:style w:type="character" w:styleId="Strong">
    <w:name w:val="Strong"/>
    <w:basedOn w:val="DefaultParagraphFont"/>
    <w:uiPriority w:val="22"/>
    <w:qFormat/>
    <w:rsid w:val="00B174D8"/>
    <w:rPr>
      <w:b/>
      <w:bCs/>
    </w:rPr>
  </w:style>
  <w:style w:type="paragraph" w:styleId="NormalWeb">
    <w:name w:val="Normal (Web)"/>
    <w:basedOn w:val="Normal"/>
    <w:uiPriority w:val="99"/>
    <w:semiHidden/>
    <w:unhideWhenUsed/>
    <w:rsid w:val="00B174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Krishna Gamidi</dc:creator>
  <cp:keywords/>
  <dc:description/>
  <cp:lastModifiedBy>Sai Krishna Gamidi</cp:lastModifiedBy>
  <cp:revision>5</cp:revision>
  <dcterms:created xsi:type="dcterms:W3CDTF">2026-10-01T08:02:00Z</dcterms:created>
  <dcterms:modified xsi:type="dcterms:W3CDTF">2026-10-01T08:08:00Z</dcterms:modified>
</cp:coreProperties>
</file>