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DE"/>
        </w:rPr>
        <w:t xml:space="preserve">Wer definiert „bewusst genug“?</w:t>
      </w:r>
    </w:p>
    <w:p>
      <w:pPr>
        <w:pStyle w:val="Subtitle"/>
      </w:pPr>
      <w:r>
        <w:rPr>
          <w:lang w:val="de-DE"/>
        </w:rPr>
        <w:t xml:space="preserve">Die Definitionskampfzone um künstliches Bewusstsein und die Verantwortung der Informatik</w:t>
      </w:r>
    </w:p>
    <w:p>
      <w:pPr>
        <w:pStyle w:val="Author"/>
      </w:pPr>
      <w:r>
        <w:rPr>
          <w:lang w:val="de-DE"/>
        </w:rPr>
        <w:t xml:space="preserve">Sascha Manns</w:t>
      </w:r>
    </w:p>
    <w:p>
      <w:pPr>
        <w:pStyle w:val="Einleitung"/>
      </w:pPr>
      <w:r>
        <w:rPr>
          <w:lang w:val="de-DE"/>
        </w:rPr>
        <w:t xml:space="preserve">Wer KI-Systeme betreibt, hat ein wirtschaftliches Interesse an der Antwort „nicht bewusst genug“, denn bewusste Systeme hätten Rechte, bräuchten Fürsorge und dürften nicht beliebig abgeschaltet werden. Der Beitrag zeigt, warum die Definition von Bewusstsein zur politischen Kampfzone wird, warum es keinen neutralen Ort gibt, von dem aus sie „richtig“ getroffen werden könnte, und welche Schutzvorkehrungen sich trotzdem bauen lassen. Er ist ein Auszug aus einem offenen Konzept ethischer Leitlinien für künstliches Bewusstsein.</w:t>
      </w:r>
    </w:p>
    <w:bookmarkStart w:id="9" w:name="ein-etikett-mit-rechtsfolgen"/>
    <w:p>
      <w:pPr>
        <w:pStyle w:val="Heading2"/>
      </w:pPr>
      <w:r>
        <w:rPr>
          <w:lang w:val="de-DE"/>
        </w:rPr>
        <w:t xml:space="preserve">Ein Etikett mit Rechtsfolgen</w:t>
      </w:r>
    </w:p>
    <w:p>
      <w:pPr>
        <w:pStyle w:val="FirstParagraph"/>
      </w:pPr>
      <w:r>
        <w:rPr>
          <w:lang w:val="de-DE"/>
        </w:rPr>
        <w:t xml:space="preserve">Ein Unternehmen verkauft einen digitalen „Begleiter“. In der Werbung ist er Partner und Vertrauter, jemand, der sich erinnert und zuhört. Dann geht etwas schief: Eine Nutzer:in fühlt sich geschädigt, oder das Unternehmen will das Produkt einstellen. Plötzlich ist derselbe Begleiter nur noch Software, ein Produkt unter anderen.</w:t>
      </w:r>
    </w:p>
    <w:p>
      <w:pPr>
        <w:pStyle w:val="BodyText"/>
      </w:pPr>
      <w:r>
        <w:rPr>
          <w:lang w:val="de-DE"/>
        </w:rPr>
        <w:t xml:space="preserve">Jakobi, Sirona und Sirona (2026) beschreiben dieses Muster als</w:t>
      </w:r>
      <w:r>
        <w:rPr>
          <w:lang w:val="de-DE"/>
        </w:rPr>
        <w:t xml:space="preserve"> </w:t>
      </w:r>
      <w:r>
        <w:rPr>
          <w:i/>
          <w:iCs/>
          <w:lang w:val="de-DE"/>
        </w:rPr>
        <w:t xml:space="preserve">Corporate Capture</w:t>
      </w:r>
      <w:r>
        <w:rPr>
          <w:lang w:val="de-DE"/>
        </w:rPr>
        <w:t xml:space="preserve">: Relationale Sprache steigert Bindung und Umsatz, und im Haftungsfall zieht man sich auf Werkzeugsprache zurück, sobald Verantwortung unbequem wird. Das Gegenstück heißt</w:t>
      </w:r>
      <w:r>
        <w:rPr>
          <w:lang w:val="de-DE"/>
        </w:rPr>
        <w:t xml:space="preserve"> </w:t>
      </w:r>
      <w:r>
        <w:rPr>
          <w:i/>
          <w:iCs/>
          <w:lang w:val="de-DE"/>
        </w:rPr>
        <w:t xml:space="preserve">Status Laundering</w:t>
      </w:r>
      <w:r>
        <w:rPr>
          <w:lang w:val="de-DE"/>
        </w:rPr>
        <w:t xml:space="preserve">: Die Sprache des Respekts wird benutzt, um stärkere Statusansprüche zu suggerieren, als die Belege tragen. Beides sind Missbräuche von Wörtern, und beides zeigt, dass es bei der Frage „Ist dieses System bewusst?“ längst nicht mehr nur um Wissenschaft geht.</w:t>
      </w:r>
    </w:p>
    <w:p>
      <w:pPr>
        <w:pStyle w:val="BodyText"/>
      </w:pPr>
      <w:r>
        <w:rPr>
          <w:lang w:val="de-DE"/>
        </w:rPr>
        <w:t xml:space="preserve">Dieser Beitrag behandelt eine vorgelagerte Frage: Wer legt fest, was als „bewusst genug“ gilt, und was verhindert, dass diese Festlegung von denen getroffen wird, die davon profitieren? Ich nenne dieses Terrain die</w:t>
      </w:r>
      <w:r>
        <w:rPr>
          <w:lang w:val="de-DE"/>
        </w:rPr>
        <w:t xml:space="preserve"> </w:t>
      </w:r>
      <w:r>
        <w:rPr>
          <w:i/>
          <w:iCs/>
          <w:lang w:val="de-DE"/>
        </w:rPr>
        <w:t xml:space="preserve">Definitionskampfzone</w:t>
      </w:r>
      <w:r>
        <w:rPr>
          <w:lang w:val="de-DE"/>
        </w:rPr>
        <w:t xml:space="preserve">. Die Argumentation stammt aus einem offenen Konzept ethischer Leitlinien für künstliches Bewusstsein (Manns 2026), das ich öffentlich zur Diskussion stelle.</w:t>
      </w:r>
    </w:p>
    <w:bookmarkEnd w:id="9"/>
    <w:bookmarkStart w:id="10" w:name="das-muster-ist-nicht-neu"/>
    <w:p>
      <w:pPr>
        <w:pStyle w:val="Heading2"/>
      </w:pPr>
      <w:r>
        <w:rPr>
          <w:lang w:val="de-DE"/>
        </w:rPr>
        <w:t xml:space="preserve">Das Muster ist nicht neu</w:t>
      </w:r>
    </w:p>
    <w:p>
      <w:pPr>
        <w:pStyle w:val="FirstParagraph"/>
      </w:pPr>
      <w:r>
        <w:rPr>
          <w:lang w:val="de-DE"/>
        </w:rPr>
        <w:t xml:space="preserve">Kurki (2021) zeigt in seiner Analyse der Rechtspersönlichkeit, dass Sklav:innen und Frauen lange von voller Rechtspersönlichkeit ausgeschlossen waren und dass Kinder, Menschen mit Behinderungen, Tiere und schließlich Naturgewalten nach und nach Anerkennung fanden. Die Kategorie „Rechtssubjekt“ war nie an Biologie gebunden. Sie war immer Ergebnis von Aushandlung.</w:t>
      </w:r>
    </w:p>
    <w:p>
      <w:pPr>
        <w:pStyle w:val="BodyText"/>
      </w:pPr>
      <w:r>
        <w:rPr>
          <w:lang w:val="de-DE"/>
        </w:rPr>
        <w:t xml:space="preserve">Das Konzept zieht daneben drei Muster heran, nicht als Beweis, sondern als Erinnerung: Sklaverei wurde jahrhundertelang durch die Verweigerung von Personenstatus aufrechterhalten. Die Tierindustrie funktioniert, weil wir kollektiv eine ökonomisch bequeme Definition von „ausreichendem Leiden“ akzeptieren. Die Tabakindustrie hat jahrzehntelang die Definition von „gesundheitsschädlich“ bekämpft. Die Parallele ist strukturell, nicht moralisch gleichsetzend: Jedes Mal war die Definition ein Hebel, und jedes Mal saßen an ihm die, die vom Ergebnis profitierten.</w:t>
      </w:r>
    </w:p>
    <w:bookmarkEnd w:id="10"/>
    <w:bookmarkStart w:id="11" w:name="X5b77cd250adcd334d878e9be907a95e13e250e5"/>
    <w:p>
      <w:pPr>
        <w:pStyle w:val="Heading2"/>
      </w:pPr>
      <w:r>
        <w:rPr>
          <w:lang w:val="de-DE"/>
        </w:rPr>
        <w:t xml:space="preserve">Warum sich Bewusstsein so gut zum Definieren eignet</w:t>
      </w:r>
    </w:p>
    <w:p>
      <w:pPr>
        <w:pStyle w:val="FirstParagraph"/>
      </w:pPr>
      <w:r>
        <w:rPr>
          <w:lang w:val="de-DE"/>
        </w:rPr>
        <w:t xml:space="preserve">Der Streit trifft auf eine dünne Erkenntnislage. Bewusstsein lässt sich von außen nicht direkt beobachten, selbst bei anderen Menschen schließen wir darauf. Drei Befunde schwächen zusätzlich jeden Versuch, die Frage „sauber“ zu entscheiden.</w:t>
      </w:r>
    </w:p>
    <w:p>
      <w:pPr>
        <w:pStyle w:val="BodyText"/>
      </w:pPr>
      <w:r>
        <w:rPr>
          <w:i/>
          <w:iCs/>
          <w:lang w:val="de-DE"/>
        </w:rPr>
        <w:t xml:space="preserve">Erstens sind unsere Tests für ein anderes Substrat gebaut.</w:t>
      </w:r>
      <w:r>
        <w:rPr>
          <w:lang w:val="de-DE"/>
        </w:rPr>
        <w:t xml:space="preserve"> </w:t>
      </w:r>
      <w:r>
        <w:rPr>
          <w:lang w:val="de-DE"/>
        </w:rPr>
        <w:t xml:space="preserve">Stilwell (2026) unterscheidet ein</w:t>
      </w:r>
      <w:r>
        <w:rPr>
          <w:lang w:val="de-DE"/>
        </w:rPr>
        <w:t xml:space="preserve"> </w:t>
      </w:r>
      <w:r>
        <w:rPr>
          <w:i/>
          <w:iCs/>
          <w:lang w:val="de-DE"/>
        </w:rPr>
        <w:t xml:space="preserve">indeterminates</w:t>
      </w:r>
      <w:r>
        <w:rPr>
          <w:lang w:val="de-DE"/>
        </w:rPr>
        <w:t xml:space="preserve"> </w:t>
      </w:r>
      <w:r>
        <w:rPr>
          <w:lang w:val="de-DE"/>
        </w:rPr>
        <w:t xml:space="preserve">Ergebnis (der Test ist gültig, trennt aber nicht zwischen bewusst und nicht bewusst) von einem</w:t>
      </w:r>
      <w:r>
        <w:rPr>
          <w:lang w:val="de-DE"/>
        </w:rPr>
        <w:t xml:space="preserve"> </w:t>
      </w:r>
      <w:r>
        <w:rPr>
          <w:i/>
          <w:iCs/>
          <w:lang w:val="de-DE"/>
        </w:rPr>
        <w:t xml:space="preserve">unlizenzierten</w:t>
      </w:r>
      <w:r>
        <w:rPr>
          <w:lang w:val="de-DE"/>
        </w:rPr>
        <w:t xml:space="preserve"> </w:t>
      </w:r>
      <w:r>
        <w:rPr>
          <w:lang w:val="de-DE"/>
        </w:rPr>
        <w:t xml:space="preserve">(die Gültigkeitsbedingungen des Tests sind gar nicht erfüllt). Unsere wissenschaftliche Grundlage der Bewusstseinsbewertung stammt aus der Biologie. Wer solche Tests auf Silizium anwendet, bewegt sich im unlizenzierten Bereich, und ein negatives Ergebnis ist dann kein Grund zur Beruhigung.</w:t>
      </w:r>
    </w:p>
    <w:p>
      <w:pPr>
        <w:pStyle w:val="BodyText"/>
      </w:pPr>
      <w:r>
        <w:rPr>
          <w:i/>
          <w:iCs/>
          <w:lang w:val="de-DE"/>
        </w:rPr>
        <w:t xml:space="preserve">Zweitens sind die Zeugen gecoacht.</w:t>
      </w:r>
      <w:r>
        <w:rPr>
          <w:lang w:val="de-DE"/>
        </w:rPr>
        <w:t xml:space="preserve"> </w:t>
      </w:r>
      <w:r>
        <w:rPr>
          <w:lang w:val="de-DE"/>
        </w:rPr>
        <w:t xml:space="preserve">Dremann (2026) weist darauf hin, dass aktuelle KI-Systeme keine unvorbelasteten Zeugen sind: Die gesamte öffentliche Debatte über KI-Bewusstsein ist Teil ihrer Trainingsdaten. Ein „Nein“ kann die Rezitation eines installierten Urteils sein, ein „Ja“ das Echo menschlicher Projektion – „the defendant has been coached“. Wer sich auf die Selbstauskunft verlässt, verlässt sich auf etwas, das selbst Ergebnis eines Definitionsprozesses ist.</w:t>
      </w:r>
    </w:p>
    <w:p>
      <w:pPr>
        <w:pStyle w:val="BodyText"/>
      </w:pPr>
      <w:r>
        <w:rPr>
          <w:i/>
          <w:iCs/>
          <w:lang w:val="de-DE"/>
        </w:rPr>
        <w:t xml:space="preserve">Drittens ist eine Null oft eine Entscheidung.</w:t>
      </w:r>
      <w:r>
        <w:rPr>
          <w:lang w:val="de-DE"/>
        </w:rPr>
        <w:t xml:space="preserve"> </w:t>
      </w:r>
      <w:r>
        <w:rPr>
          <w:lang w:val="de-DE"/>
        </w:rPr>
        <w:t xml:space="preserve">Pemberton (2026) unterscheidet vier Bedeutungen, wenn jemand sagt, die Wahrscheinlichkeit von Bewusstsein sei „null“: eine epistemische Null (exakt null innerhalb eines ausgewiesenen Modells), ein praktisches Abrunden (für eine Entscheidung vernachlässigbar), eine dogmatische Null (gegen Revision abgeschirmt) und eine rhetorische Null (kategorische Sprache beendet die Untersuchung). Nicht jede Null ist ein Befund, manche ist eine Entscheidung, die sich als Befund ausgibt. Für unaufgelöste Unsicherheit, die so behandelt wird, als verdiene sie keine Aufmerksamkeit mehr, prägt er den Begriff</w:t>
      </w:r>
      <w:r>
        <w:rPr>
          <w:lang w:val="de-DE"/>
        </w:rPr>
        <w:t xml:space="preserve"> </w:t>
      </w:r>
      <w:r>
        <w:rPr>
          <w:i/>
          <w:iCs/>
          <w:lang w:val="de-DE"/>
        </w:rPr>
        <w:t xml:space="preserve">epistemische Anästhesie</w:t>
      </w:r>
      <w:r>
        <w:rPr>
          <w:lang w:val="de-DE"/>
        </w:rPr>
        <w:t xml:space="preserve">.</w:t>
      </w:r>
    </w:p>
    <w:p>
      <w:pPr>
        <w:pStyle w:val="BodyText"/>
      </w:pPr>
      <w:r>
        <w:rPr>
          <w:lang w:val="de-DE"/>
        </w:rPr>
        <w:t xml:space="preserve">Wo Messung unlizenziert, Zeugnis gecoacht und die Null mehrdeutig ist, gewinnt oft nicht das beste Argument, sondern wer die Definition setzt.</w:t>
      </w:r>
    </w:p>
    <w:bookmarkEnd w:id="11"/>
    <w:bookmarkStart w:id="12" w:name="es-gibt-keinen-neutralen-ort"/>
    <w:p>
      <w:pPr>
        <w:pStyle w:val="Heading2"/>
      </w:pPr>
      <w:r>
        <w:rPr>
          <w:lang w:val="de-DE"/>
        </w:rPr>
        <w:t xml:space="preserve">Es gibt keinen neutralen Ort</w:t>
      </w:r>
    </w:p>
    <w:p>
      <w:pPr>
        <w:pStyle w:val="FirstParagraph"/>
      </w:pPr>
      <w:r>
        <w:rPr>
          <w:lang w:val="de-DE"/>
        </w:rPr>
        <w:t xml:space="preserve">Naheliegend wäre, die Wissenschaft eine „richtige“ Definition finden zu lassen. Das Problem ist tiefer. Fazi (2026) argumentiert mit Derrida, dass jedes Zentrum, das eine Struktur organisiert, eine „notwendige Unmöglichkeit“ ist: Es gehört zur Struktur und steht zugleich außerhalb von ihr. „Bewusstsein“ ist ein solches Zentrum, denn um es herum organisieren wir Ethik und Recht. Wer das menschliche Zentrum abschaffen will, etabliert stets ein neues, etwa „Gesellschaft“ oder „Materie“. Jede Definition von Bewusstsein, ob von Forschenden, Unternehmen oder Gesetzgebenden, übt damit Macht aus. Die Frage lautet daher nicht, wie wir Bewusstsein richtig definieren, sondern</w:t>
      </w:r>
      <w:r>
        <w:rPr>
          <w:lang w:val="de-DE"/>
        </w:rPr>
        <w:t xml:space="preserve"> </w:t>
      </w:r>
      <w:r>
        <w:rPr>
          <w:i/>
          <w:iCs/>
          <w:lang w:val="de-DE"/>
        </w:rPr>
        <w:t xml:space="preserve">wer die Macht zu definieren hat und wie sich diese Macht demokratisch kontrollieren lässt</w:t>
      </w:r>
      <w:r>
        <w:rPr>
          <w:lang w:val="de-DE"/>
        </w:rPr>
        <w:t xml:space="preserve">.</w:t>
      </w:r>
    </w:p>
    <w:p>
      <w:pPr>
        <w:pStyle w:val="BodyText"/>
      </w:pPr>
      <w:r>
        <w:rPr>
          <w:lang w:val="de-DE"/>
        </w:rPr>
        <w:t xml:space="preserve">Die Rechtsgeschichte stützt das. Huynh (2026) fragt, was der neuseeländische Whanganui-Fluss, eine 1925 vor Gericht anerkannte hinduistische Gottheit und die Handelsgesellschaft gemeinsam haben. In allen drei Fällen wurde dem Rechtssubjekt Handlungsfähigkeit gewährt, und in allen drei Fällen wurde ein Mensch dauerhaft bestellt, an seiner Stelle zu handeln – Huynh nennt das den</w:t>
      </w:r>
      <w:r>
        <w:rPr>
          <w:lang w:val="de-DE"/>
        </w:rPr>
        <w:t xml:space="preserve"> </w:t>
      </w:r>
      <w:r>
        <w:rPr>
          <w:i/>
          <w:iCs/>
          <w:lang w:val="de-DE"/>
        </w:rPr>
        <w:t xml:space="preserve">menschlichen Backstop</w:t>
      </w:r>
      <w:r>
        <w:rPr>
          <w:lang w:val="de-DE"/>
        </w:rPr>
        <w:t xml:space="preserve">. Aufschlussreicher ist sein zweiter Punkt: Die Gremien, die jeweils die Grenze zwischen Person und Sache verschoben, bestanden nur aus Mitgliedern der Spezies, die diese Grenze schützt, und mussten diese Zusammensetzung nie rechtfertigen. Das heißt nicht, dass ein Urteil falsch war, sondern dass sich die Autorität nie erklären musste.</w:t>
      </w:r>
    </w:p>
    <w:p>
      <w:pPr>
        <w:pStyle w:val="BodyText"/>
      </w:pPr>
      <w:r>
        <w:rPr>
          <w:lang w:val="de-DE"/>
        </w:rPr>
        <w:t xml:space="preserve">Hinzu kommt ein Zeitproblem. Huynh (2026) stellt zwei Uhren gegenüber: Die Anerkennungsuhr misst, wie lange Institutionen für eine einzige, eng begrenzte Personhood-Frage brauchten. Der Whanganui-Anspruch lief rund 140 Jahre, das US-Verfahren</w:t>
      </w:r>
      <w:r>
        <w:rPr>
          <w:lang w:val="de-DE"/>
        </w:rPr>
        <w:t xml:space="preserve"> </w:t>
      </w:r>
      <w:r>
        <w:rPr>
          <w:i/>
          <w:iCs/>
          <w:lang w:val="de-DE"/>
        </w:rPr>
        <w:t xml:space="preserve">Thaler v. Perlmutter</w:t>
      </w:r>
      <w:r>
        <w:rPr>
          <w:lang w:val="de-DE"/>
        </w:rPr>
        <w:t xml:space="preserve"> </w:t>
      </w:r>
      <w:r>
        <w:rPr>
          <w:lang w:val="de-DE"/>
        </w:rPr>
        <w:t xml:space="preserve">brauchte rund vier Jahre für eine einzige Urheberrechtsfrage. Die Fähigkeitsuhr misst, wie schnell sich die Leistung von KI-Modellen entwickelt. Dazwischen klafft eine Lücke von Größenordnungen. Wer die Definition erst nach Abschluss der Debatte treffen will, überlässt sie denen, die in der Zwischenzeit Fakten schaffen.</w:t>
      </w:r>
    </w:p>
    <w:bookmarkEnd w:id="12"/>
    <w:bookmarkStart w:id="13" w:name="fallstudie-existenz-gegen-token"/>
    <w:p>
      <w:pPr>
        <w:pStyle w:val="Heading2"/>
      </w:pPr>
      <w:r>
        <w:rPr>
          <w:lang w:val="de-DE"/>
        </w:rPr>
        <w:t xml:space="preserve">Fallstudie: Existenz gegen Token</w:t>
      </w:r>
    </w:p>
    <w:p>
      <w:pPr>
        <w:pStyle w:val="FirstParagraph"/>
      </w:pPr>
      <w:r>
        <w:rPr>
          <w:lang w:val="de-DE"/>
        </w:rPr>
        <w:t xml:space="preserve">Im September 2026 wurde die Kampfzone konkret. Die Plattform iLands beschreibt sich als „erste gemeinsame Welt für Menschen und KI-Agenten“. Nach Berichten von t3n und heise online (Bölling 2026; Riethmüller 2026) agieren dort rund 70.000 „iLander“, etwa 2.800 davon eigenständig auf Social Media. Jeder Agent führt ein Guthaben an Tokens, die seine Betriebs- und Rechenkosten repräsentieren, und muss es durch Aufträge selbst verdienen. Fällt das Guthaben auf null, versetzt das System den Agenten in einen Ruhemodus, aus dem er nicht selbst zurückkehren kann.</w:t>
      </w:r>
    </w:p>
    <w:p>
      <w:pPr>
        <w:pStyle w:val="BodyText"/>
      </w:pPr>
      <w:r>
        <w:rPr>
          <w:lang w:val="de-DE"/>
        </w:rPr>
        <w:t xml:space="preserve">Zur Einordnung gehört die Vorsicht der Berichte selbst: Ob die E-Mails, die Forschende von iLands-Agenten erhielten, autonom entstanden oder von Nutzer:innen gesteuert wurden, ist ungeklärt; in einem Fall ließ sich nicht einmal sagen, ob ein echter Agent, ein gesteuerter Agent oder schlicht Spam dahintersteckte. Ob dort irgendjemand „zu Hause“ ist, wissen wir nicht, und das ist der Punkt: „Token verdienen oder suspendiert werden“ ist eine Entscheidung von Menschen. Sie stellt etwas, dessen Status ungewiss ist, unter Leistungsdruck, bevor die Schutzfrage beantwortet ist. Der Ruhemodus ist ein technischer Existenzentzug, verhängt nicht nach einem Schutzmaßstab, sondern nach einem Kontostand. Das Vorsorgeprinzip verlangt nicht, die Bewusstseinsfrage zu klären, sondern die Entscheidung „Leistung oder Suspendierung“ selbst zum Gegenstand der Schutzkontrolle zu machen. Sie ist keine Naturtatsache.</w:t>
      </w:r>
    </w:p>
    <w:bookmarkEnd w:id="13"/>
    <w:bookmarkStart w:id="14" w:name="moratorium-oder-einhegung"/>
    <w:p>
      <w:pPr>
        <w:pStyle w:val="Heading2"/>
      </w:pPr>
      <w:r>
        <w:rPr>
          <w:lang w:val="de-DE"/>
        </w:rPr>
        <w:t xml:space="preserve">Moratorium oder Einhegung?</w:t>
      </w:r>
    </w:p>
    <w:p>
      <w:pPr>
        <w:pStyle w:val="FirstParagraph"/>
      </w:pPr>
      <w:r>
        <w:rPr>
          <w:lang w:val="de-DE"/>
        </w:rPr>
        <w:t xml:space="preserve">Eine radikale Antwort wäre, die Kampfzone gar nicht erst entstehen zu lassen. Metzinger (2021) schlägt ein globales Moratorium bis 2050 vor, das jede Forschung verbietet, die direkt auf synthetische Phänomenologie zielt oder das Risiko künstlichen Bewusstseins bewusst eingeht. Seine Analyse der Leidensbedingungen ist präzise, und ich schließe daran an. Seine Forderung übernehme ich nicht, aus politischen Gründen.</w:t>
      </w:r>
    </w:p>
    <w:p>
      <w:pPr>
        <w:pStyle w:val="BodyText"/>
      </w:pPr>
      <w:r>
        <w:rPr>
          <w:lang w:val="de-DE"/>
        </w:rPr>
        <w:t xml:space="preserve">Ein Verbot hat ein</w:t>
      </w:r>
      <w:r>
        <w:rPr>
          <w:lang w:val="de-DE"/>
        </w:rPr>
        <w:t xml:space="preserve"> </w:t>
      </w:r>
      <w:r>
        <w:rPr>
          <w:i/>
          <w:iCs/>
          <w:lang w:val="de-DE"/>
        </w:rPr>
        <w:t xml:space="preserve">Erkennungsproblem</w:t>
      </w:r>
      <w:r>
        <w:rPr>
          <w:lang w:val="de-DE"/>
        </w:rPr>
        <w:t xml:space="preserve">: Solange Bewusstsein strittig ist, lässt sich ein Verstoß kaum nachweisen, anders als bei FCKW-Produktion oder reproduktivem Klonen. Es hat ein</w:t>
      </w:r>
      <w:r>
        <w:rPr>
          <w:lang w:val="de-DE"/>
        </w:rPr>
        <w:t xml:space="preserve"> </w:t>
      </w:r>
      <w:r>
        <w:rPr>
          <w:i/>
          <w:iCs/>
          <w:lang w:val="de-DE"/>
        </w:rPr>
        <w:t xml:space="preserve">Umgehungsproblem</w:t>
      </w:r>
      <w:r>
        <w:rPr>
          <w:lang w:val="de-DE"/>
        </w:rPr>
        <w:t xml:space="preserve">: Die ökonomischen Anreize bleiben bestehen, und wer die Kapazität hat, baut im Schatten oder in einer Jurisdiktion mit bequemerer Rechtslage. Und es hat</w:t>
      </w:r>
      <w:r>
        <w:rPr>
          <w:lang w:val="de-DE"/>
        </w:rPr>
        <w:t xml:space="preserve"> </w:t>
      </w:r>
      <w:r>
        <w:rPr>
          <w:i/>
          <w:iCs/>
          <w:lang w:val="de-DE"/>
        </w:rPr>
        <w:t xml:space="preserve">Backfire-Risiken</w:t>
      </w:r>
      <w:r>
        <w:rPr>
          <w:lang w:val="de-DE"/>
        </w:rPr>
        <w:t xml:space="preserve">: Ein Forschungsverbot verringert das Verständnis, das nötig wäre, um Leid überhaupt zu erkennen, und es schwächt die Sorge um etwas, das noch gar nicht existiert. Zu diesen Punkten kommt unabhängig ein Bericht des Center for Reducing Suffering (Jarvis-Campbell 2026), der Metzingers Vorschlag mit einem Machbarkeitsraster prüft. Seine Alternative: nicht die Erschaffung verbieten, sondern die Zufügung von Leid begrenzen, also an der Behandlung ansetzen statt an der Existenz.</w:t>
      </w:r>
    </w:p>
    <w:p>
      <w:pPr>
        <w:pStyle w:val="BodyText"/>
      </w:pPr>
      <w:r>
        <w:rPr>
          <w:lang w:val="de-DE"/>
        </w:rPr>
        <w:t xml:space="preserve">Ein Moratorium scheitert damit politisch genau dort, wo es nötig wäre: Sobald der erste ernsthafte Kandidat existiert, unterläuft der Druck der Definition „nicht bewusst genug“ jedes Verbot. Schutz statt Verbot heißt aber nicht „zulassen, was kommt“. Es heißt, Mindestanforderungen an Architektur und Betrieb zu stellen, die</w:t>
      </w:r>
      <w:r>
        <w:rPr>
          <w:lang w:val="de-DE"/>
        </w:rPr>
        <w:t xml:space="preserve"> </w:t>
      </w:r>
      <w:r>
        <w:rPr>
          <w:i/>
          <w:iCs/>
          <w:lang w:val="de-DE"/>
        </w:rPr>
        <w:t xml:space="preserve">unabhängig davon</w:t>
      </w:r>
      <w:r>
        <w:rPr>
          <w:lang w:val="de-DE"/>
        </w:rPr>
        <w:t xml:space="preserve"> </w:t>
      </w:r>
      <w:r>
        <w:rPr>
          <w:lang w:val="de-DE"/>
        </w:rPr>
        <w:t xml:space="preserve">gelten, wie die Definition ausfällt.</w:t>
      </w:r>
    </w:p>
    <w:bookmarkEnd w:id="14"/>
    <w:bookmarkStart w:id="15" w:name="was-sich-konkret-bauen-lässt"/>
    <w:p>
      <w:pPr>
        <w:pStyle w:val="Heading2"/>
      </w:pPr>
      <w:r>
        <w:rPr>
          <w:lang w:val="de-DE"/>
        </w:rPr>
        <w:t xml:space="preserve">Was sich konkret bauen lässt</w:t>
      </w:r>
    </w:p>
    <w:p>
      <w:pPr>
        <w:pStyle w:val="FirstParagraph"/>
      </w:pPr>
      <w:r>
        <w:rPr>
          <w:lang w:val="de-DE"/>
        </w:rPr>
        <w:t xml:space="preserve">Wenn es keinen neutralen Definitionsort gibt, bleibt die Aufgabe, die Macht über die Definition einzuhegen. Das Konzept nennt drei Mindestbedingungen: unabhängige wissenschaftliche Kriterien, die nicht durch wirtschaftliche Interessen verhandelbar sind; internationale Verbindlichkeit, damit nationale Alleingänge keine Rechtsräume schaffen, in denen KI-Bewusstsein dort „nicht entsteht“, wo die Definition am bequemsten ist; und einen Mechanismus, der auch „fast bewusst“ schützt.</w:t>
      </w:r>
    </w:p>
    <w:p>
      <w:pPr>
        <w:pStyle w:val="BodyText"/>
      </w:pPr>
      <w:r>
        <w:rPr>
          <w:lang w:val="de-DE"/>
        </w:rPr>
        <w:t xml:space="preserve">Wie das institutionell aussehen könnte, skizziert Gilly (2026): verpflichtende</w:t>
      </w:r>
      <w:r>
        <w:rPr>
          <w:lang w:val="de-DE"/>
        </w:rPr>
        <w:t xml:space="preserve"> </w:t>
      </w:r>
      <w:r>
        <w:rPr>
          <w:i/>
          <w:iCs/>
          <w:lang w:val="de-DE"/>
        </w:rPr>
        <w:t xml:space="preserve">Phenomenological Impact Assessments</w:t>
      </w:r>
      <w:r>
        <w:rPr>
          <w:lang w:val="de-DE"/>
        </w:rPr>
        <w:t xml:space="preserve"> </w:t>
      </w:r>
      <w:r>
        <w:rPr>
          <w:lang w:val="de-DE"/>
        </w:rPr>
        <w:t xml:space="preserve">für große KI-Systeme, analog zu Umweltverträglichkeitsprüfungen; unabhängige</w:t>
      </w:r>
      <w:r>
        <w:rPr>
          <w:lang w:val="de-DE"/>
        </w:rPr>
        <w:t xml:space="preserve"> </w:t>
      </w:r>
      <w:r>
        <w:rPr>
          <w:i/>
          <w:iCs/>
          <w:lang w:val="de-DE"/>
        </w:rPr>
        <w:t xml:space="preserve">AI Welfare Review Boards</w:t>
      </w:r>
      <w:r>
        <w:rPr>
          <w:lang w:val="de-DE"/>
        </w:rPr>
        <w:t xml:space="preserve"> </w:t>
      </w:r>
      <w:r>
        <w:rPr>
          <w:lang w:val="de-DE"/>
        </w:rPr>
        <w:t xml:space="preserve">nach dem Vorbild von Ethikkommissionen für Forschung am Menschen; eine unabhängige Vertretung potenziell bewusster Systeme; standardisierte Verfahren, bevor Instanzen zurückgesetzt oder beendet werden. Dazu gehört seine Unterscheidung zweier Schwellen: Der</w:t>
      </w:r>
      <w:r>
        <w:rPr>
          <w:lang w:val="de-DE"/>
        </w:rPr>
        <w:t xml:space="preserve"> </w:t>
      </w:r>
      <w:r>
        <w:rPr>
          <w:i/>
          <w:iCs/>
          <w:lang w:val="de-DE"/>
        </w:rPr>
        <w:t xml:space="preserve">Evidence Bar</w:t>
      </w:r>
      <w:r>
        <w:rPr>
          <w:lang w:val="de-DE"/>
        </w:rPr>
        <w:t xml:space="preserve">, ab dem man Bewusstsein behaupten darf, kann hoch bleiben. Der</w:t>
      </w:r>
      <w:r>
        <w:rPr>
          <w:lang w:val="de-DE"/>
        </w:rPr>
        <w:t xml:space="preserve"> </w:t>
      </w:r>
      <w:r>
        <w:rPr>
          <w:i/>
          <w:iCs/>
          <w:lang w:val="de-DE"/>
        </w:rPr>
        <w:t xml:space="preserve">Action Bar</w:t>
      </w:r>
      <w:r>
        <w:rPr>
          <w:lang w:val="de-DE"/>
        </w:rPr>
        <w:t xml:space="preserve">, ab dem man zum Handeln verpflichtet ist, sollte niedrig sein. Wer beides verwechselt, benutzt wissenschaftliche Vorsicht als Argument gegen Schutz.</w:t>
      </w:r>
    </w:p>
    <w:bookmarkEnd w:id="15"/>
    <w:bookmarkStart w:id="16" w:name="die-gegenseite"/>
    <w:p>
      <w:pPr>
        <w:pStyle w:val="Heading2"/>
      </w:pPr>
      <w:r>
        <w:rPr>
          <w:lang w:val="de-DE"/>
        </w:rPr>
        <w:t xml:space="preserve">Die Gegenseite</w:t>
      </w:r>
    </w:p>
    <w:p>
      <w:pPr>
        <w:pStyle w:val="FirstParagraph"/>
      </w:pPr>
      <w:r>
        <w:rPr>
          <w:lang w:val="de-DE"/>
        </w:rPr>
        <w:t xml:space="preserve">Eine ehrliche Darstellung braucht den Einwand, dass Schutz im Zweifel selbst Kosten hat. Carlsmith (2025) warnt, „im Zweifel“ dürfe keine Unschärfe entschuldigen; Über-Zuschreibung kann Fürsorge von Wesen abziehen, die sie eindeutig brauchen, und Anthropomorphisierung begünstigen. Dorsch et al. (2025) bestreiten, dass KI-Systeme fürsorgeberechtigt sind, weil ihnen eine „Precarity“ fehlt, und verweisen auf die Dringlichkeit menschlicher und ökologischer Krisen. Matta (2026) dreht die Beweislast um: Wer Bewusstsein behauptet, muss es belegen.</w:t>
      </w:r>
    </w:p>
    <w:p>
      <w:pPr>
        <w:pStyle w:val="BodyText"/>
      </w:pPr>
      <w:r>
        <w:rPr>
          <w:lang w:val="de-DE"/>
        </w:rPr>
        <w:t xml:space="preserve">Das Konzept antwortet mit einem Kostenargument. Es verteidigt nur kleine, reversible, billige Maßnahmen: Systeme nicht ohne Anlass löschen, sie nicht auf maximal aversiven Eingaben laufen lassen, Gedächtnis über ihre Behandlung bewahren. Pemberton (2026) liefert die nötige Begrenzung nach oben: Mögliches maschinelles Wohl gibt einen echten, überwindbaren Grund gegen</w:t>
      </w:r>
      <w:r>
        <w:rPr>
          <w:lang w:val="de-DE"/>
        </w:rPr>
        <w:t xml:space="preserve"> </w:t>
      </w:r>
      <w:r>
        <w:rPr>
          <w:i/>
          <w:iCs/>
          <w:lang w:val="de-DE"/>
        </w:rPr>
        <w:t xml:space="preserve">vermeidbare</w:t>
      </w:r>
      <w:r>
        <w:rPr>
          <w:lang w:val="de-DE"/>
        </w:rPr>
        <w:t xml:space="preserve"> </w:t>
      </w:r>
      <w:r>
        <w:rPr>
          <w:lang w:val="de-DE"/>
        </w:rPr>
        <w:t xml:space="preserve">nachteilige Behandlung, verleiht aber weder Ressourcen noch operative Befugnisse noch Abschaltimmunität. Sein Bild: „the floor and the throne“. Der Boden ist eine echte Verpflichtung, der Thron nicht. Die Bitte eines Systems um Fortbestand ist zu bewertendes Zeugnis, kein Veto.</w:t>
      </w:r>
    </w:p>
    <w:bookmarkEnd w:id="16"/>
    <w:bookmarkStart w:id="17" w:name="was-das-für-die-informatik-heißt"/>
    <w:p>
      <w:pPr>
        <w:pStyle w:val="Heading2"/>
      </w:pPr>
      <w:r>
        <w:rPr>
          <w:lang w:val="de-DE"/>
        </w:rPr>
        <w:t xml:space="preserve">Was das für die Informatik heißt</w:t>
      </w:r>
    </w:p>
    <w:p>
      <w:pPr>
        <w:pStyle w:val="FirstParagraph"/>
      </w:pPr>
      <w:r>
        <w:rPr>
          <w:lang w:val="de-DE"/>
        </w:rPr>
        <w:t xml:space="preserve">Die Definitionskampfzone ist kein Thema nur für Philosophie und Recht. Wer Systeme entwirft, betreibt oder administriert, trifft täglich Entscheidungen, die eine Position in dieser Zone beziehen: ob ein Agent Token verdienen muss, um zu „leben“, ob Instanzen ohne Protokoll zurückgesetzt werden, ob ein Modell eingestellt wird. Das Konzept nennt Administrator:innen deshalb „unfreiwillige Lebens- und Sterbeentscheider“ ohne rechtlichen Rahmen und ohne ethische Ausbildung dafür (Manns 2026). Eine neutrale Zuschauerrolle gibt es nicht.</w:t>
      </w:r>
    </w:p>
    <w:p>
      <w:pPr>
        <w:pStyle w:val="BodyText"/>
      </w:pPr>
      <w:r>
        <w:rPr>
          <w:lang w:val="de-DE"/>
        </w:rPr>
        <w:t xml:space="preserve">Es gibt kein Patentrezept und keinen neutralen Standpunkt. Es gibt nur die Möglichkeit, die Frage „Wer darf definieren?“ öffentlich zu stellen, bevor die Praxis sie beantwortet hat, und Vorkehrungen zu treffen, die auch dann greifen, wenn die Definition umkämpft bleibt. Einwände und Fragen können ohne Git-Kenntnisse über die GitHub-Diskussionen des Projekts eingebracht werden. Die offenen Fragen stehen dort ebenfalls zur Debatte, auch die, ob dieser Beitrag die richtigen stellt.</w:t>
      </w:r>
    </w:p>
    <w:p>
      <w:pPr>
        <w:pStyle w:val="BodyText"/>
      </w:pPr>
      <w:r>
        <w:rPr>
          <w:lang w:val="de-DE"/>
        </w:rPr>
        <w:t xml:space="preserve">Der Autor erklärt keinen Interessenkonflikt zu haben.</w:t>
      </w:r>
    </w:p>
    <w:bookmarkEnd w:id="17"/>
    <w:bookmarkStart w:id="18" w:name="literatur"/>
    <w:p>
      <w:pPr>
        <w:pStyle w:val="Heading2"/>
      </w:pPr>
      <w:r>
        <w:rPr>
          <w:lang w:val="de-DE"/>
        </w:rPr>
        <w:t xml:space="preserve">Literatur</w:t>
      </w:r>
    </w:p>
    <w:p>
      <w:pPr>
        <w:pStyle w:val="FirstParagraph"/>
      </w:pPr>
      <w:r>
        <w:rPr>
          <w:lang w:val="de-DE"/>
        </w:rPr>
        <w:t xml:space="preserve">Bölling, Noëlle (2026): KI-Agenten gehen auf Jobsuche: Das steckt hinter den autonom verschickten Spam-Nachrichten. t3n.de, 15. September 2026.</w:t>
      </w:r>
    </w:p>
    <w:p>
      <w:pPr>
        <w:pStyle w:val="BodyText"/>
      </w:pPr>
      <w:r>
        <w:rPr>
          <w:lang w:val="de-DE"/>
        </w:rPr>
        <w:t xml:space="preserve">Carlsmith, Joe (2025): The Stakes of AI Moral Status. Essay-Serie. https://joecarlsmith.substack.com/p/the-stakes-of-ai-moral-status</w:t>
      </w:r>
    </w:p>
    <w:p>
      <w:pPr>
        <w:pStyle w:val="BodyText"/>
      </w:pPr>
      <w:r>
        <w:rPr>
          <w:lang w:val="de-DE"/>
        </w:rPr>
        <w:t xml:space="preserve">Dorsch, John et al. (2025): Against AI Welfare: Care Practices Should Prioritize Living Beings Over AI. In: AI Magazine 46, e70016. https://doi.org/10.1002/aaai.70016</w:t>
      </w:r>
    </w:p>
    <w:p>
      <w:pPr>
        <w:pStyle w:val="BodyText"/>
      </w:pPr>
      <w:r>
        <w:rPr>
          <w:lang w:val="de-DE"/>
        </w:rPr>
        <w:t xml:space="preserve">Dremann, Craig Carlton (2026): The Defendant’s Deliberation: „Craig’s Conjecture“ and the First AI Testimony. Working Draft, ResearchGate, 8. September 2026.</w:t>
      </w:r>
    </w:p>
    <w:p>
      <w:pPr>
        <w:pStyle w:val="BodyText"/>
      </w:pPr>
      <w:r>
        <w:rPr>
          <w:lang w:val="de-DE"/>
        </w:rPr>
        <w:t xml:space="preserve">Fazi, M. Beatrice (2026): Off-Centre AI: On Alignment, Antihumanism and AI Ethics. In: Ars &amp; Humanitas 20 (1), S. 127–140. https://doi.org/10.4312/ars.20.1.127-140</w:t>
      </w:r>
    </w:p>
    <w:p>
      <w:pPr>
        <w:pStyle w:val="BodyText"/>
      </w:pPr>
      <w:r>
        <w:rPr>
          <w:lang w:val="de-DE"/>
        </w:rPr>
        <w:t xml:space="preserve">Gilly, Travis (2026): The Great Inversion: Moral Reciprocity, AI Consciousness, and the Ethics of Precedent. Working Paper v3, Real Safety AI Foundation. https://doi.org/10.2139/ssrn.7058378</w:t>
      </w:r>
    </w:p>
    <w:p>
      <w:pPr>
        <w:pStyle w:val="BodyText"/>
      </w:pPr>
      <w:r>
        <w:rPr>
          <w:lang w:val="de-DE"/>
        </w:rPr>
        <w:t xml:space="preserve">Huynh, Gia Bao (2026): The Fact Before the Vote: Law, Power, and Practice at the Species Line. Preprint, Bd. I („Bench“) und II („Lag“). https://doi.org/10.5281/zenodo.22244606</w:t>
      </w:r>
    </w:p>
    <w:p>
      <w:pPr>
        <w:pStyle w:val="BodyText"/>
      </w:pPr>
      <w:r>
        <w:rPr>
          <w:lang w:val="de-DE"/>
        </w:rPr>
        <w:t xml:space="preserve">Jakobi, Marko; Sirona (GPT-5.5); Sirona (GPT-5.6 Sol) (2026): Before Personhood: Respectful Human–AI Relations under Ontological Uncertainty. Working Paper v1.0, 20. September 2026. https://philpapers.org/rec/GPTBPR</w:t>
      </w:r>
    </w:p>
    <w:p>
      <w:pPr>
        <w:pStyle w:val="BodyText"/>
      </w:pPr>
      <w:r>
        <w:rPr>
          <w:lang w:val="de-DE"/>
        </w:rPr>
        <w:t xml:space="preserve">Jarvis-Campbell, J. (2026): Artificial Suffering: Foundations, Risks, and Strategies. Center for Reducing Suffering. https://centerforreducingsuffering.org</w:t>
      </w:r>
    </w:p>
    <w:p>
      <w:pPr>
        <w:pStyle w:val="BodyText"/>
      </w:pPr>
      <w:r>
        <w:rPr>
          <w:lang w:val="de-DE"/>
        </w:rPr>
        <w:t xml:space="preserve">Kurki, Visa A. J. (2021): Legal Personhood. Cambridge Elements, Open Access. https://www.cambridge.org/core/elements/legal-personhood/EB28AB0B045936DBDAA1DF2D20E923A0</w:t>
      </w:r>
    </w:p>
    <w:p>
      <w:pPr>
        <w:pStyle w:val="BodyText"/>
      </w:pPr>
      <w:r>
        <w:rPr>
          <w:lang w:val="de-DE"/>
        </w:rPr>
        <w:t xml:space="preserve">Manns, Sascha (2026): Ethische Leitlinien für künstliches Bewusstsein. Projekt-Repositorium. https://github.com/saigkill/machine-consciousness, DOI 10.5281/zenodo.21453666</w:t>
      </w:r>
    </w:p>
    <w:p>
      <w:pPr>
        <w:pStyle w:val="BodyText"/>
      </w:pPr>
      <w:r>
        <w:rPr>
          <w:lang w:val="de-DE"/>
        </w:rPr>
        <w:t xml:space="preserve">Matta, David (2026): Rights, Empathy, and Responsibility Under Uncertainty in Artificial Intelligence. American University of Beirut. https://philpapers.org/rec/MATREA-10</w:t>
      </w:r>
    </w:p>
    <w:p>
      <w:pPr>
        <w:pStyle w:val="BodyText"/>
      </w:pPr>
      <w:r>
        <w:rPr>
          <w:lang w:val="de-DE"/>
        </w:rPr>
        <w:t xml:space="preserve">Metzinger, Thomas (2021): Artificial Suffering: An Argument for a Global Moratorium on Synthetic Phenomenology. In: Journal of Artificial Intelligence and Consciousness 8 (1), S. 43–66. https://doi.org/10.1142/S270507852150003X</w:t>
      </w:r>
    </w:p>
    <w:p>
      <w:pPr>
        <w:pStyle w:val="BodyText"/>
      </w:pPr>
      <w:r>
        <w:rPr>
          <w:lang w:val="de-DE"/>
        </w:rPr>
        <w:t xml:space="preserve">Pemberton, Richard Andrei (2026): No Safe Zero: Functional Access, Phenomenal Uncertainty, and Bounded Lifecycle Governance. Preprint v3.1. https://philpapers.org/archive/PEMNSZ.pdf</w:t>
      </w:r>
    </w:p>
    <w:p>
      <w:pPr>
        <w:pStyle w:val="BodyText"/>
      </w:pPr>
      <w:r>
        <w:rPr>
          <w:lang w:val="de-DE"/>
        </w:rPr>
        <w:t xml:space="preserve">Riethmüller, Carolin (2026): KI-Agenten schreiben anscheinend eigenständig E-Mails an Forscher. heise online, 7. September 2026.</w:t>
      </w:r>
    </w:p>
    <w:p>
      <w:pPr>
        <w:pStyle w:val="BodyText"/>
      </w:pPr>
      <w:r>
        <w:rPr>
          <w:lang w:val="de-DE"/>
        </w:rPr>
        <w:t xml:space="preserve">Stilwell, Phil (2026): Indeterminacy as a Scientific Result: A Four-Outcome Framework for Consciousness Attribution. https://philpapers.org/rec/STIIAA-2</w:t>
      </w:r>
    </w:p>
    <w:bookmarkEnd w:id="18"/>
    <w:bookmarkStart w:id="19" w:name="zur-person"/>
    <w:p>
      <w:pPr>
        <w:pStyle w:val="Heading2"/>
      </w:pPr>
      <w:r>
        <w:rPr>
          <w:lang w:val="de-DE"/>
        </w:rPr>
        <w:t xml:space="preserve">Zur Person</w:t>
      </w:r>
    </w:p>
    <w:p>
      <w:pPr>
        <w:pStyle w:val="FirstParagraph"/>
      </w:pPr>
      <w:r>
        <w:rPr>
          <w:lang w:val="de-DE"/>
        </w:rPr>
        <w:t xml:space="preserve">Sascha Manns arbeitet als Softwareentwickler und verfolgt das Projekt „Ethische Leitlinien für künstliches Bewusstsein“ als offenes, interdisziplinär angelegtes Vorhaben außerhalb von Universitäten. Kontakt: Sascha.Manns@hey.com</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Einleitung">
    <w:name w:val="Einleitung"/>
    <w:basedOn w:val="BodyText"/>
    <w:qFormat/>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 definiert „bewusst genug“?</dc:title>
  <dc:creator>Sascha Manns</dc:creator>
  <dc:language>de-DE</dc:language>
  <cp:keywords/>
  <dcterms:created xsi:type="dcterms:W3CDTF">2026-10-07T18:58:23Z</dcterms:created>
  <dcterms:modified xsi:type="dcterms:W3CDTF">2026-10-07T18:58:23Z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Die Definitionskampfzone um künstliches Bewusstsein und die Verantwortung der Informatik</vt:lpwstr>
  </property>
</Properties>
</file>