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Arial" w:cs="Arial" w:eastAsia="Arial" w:hAnsi="Arial"/>
          <w:b/>
          <w:bCs/>
          <w:color w:val="1B2A4A"/>
          <w:sz w:val="72"/>
          <w:szCs w:val="72"/>
        </w:rPr>
        <w:t xml:space="preserve">PRISM</w:t>
      </w:r>
    </w:p>
    <w:p>
      <w:pPr>
        <w:spacing w:after="80"/>
        <w:jc w:val="center"/>
      </w:pPr>
      <w:r>
        <w:rPr>
          <w:rFonts w:ascii="Arial" w:cs="Arial" w:eastAsia="Arial" w:hAnsi="Arial"/>
          <w:color w:val="2563EB"/>
          <w:sz w:val="28"/>
          <w:szCs w:val="28"/>
        </w:rPr>
        <w:t xml:space="preserve">Unified Platform Intelligence for the Modern Enterprise</w:t>
      </w:r>
    </w:p>
    <w:p>
      <w:pPr>
        <w:pBdr>
          <w:bottom w:val="single" w:color="2563EB" w:sz="4" w:space="1"/>
        </w:pBdr>
        <w:spacing w:after="200" w:before="200"/>
      </w:pPr>
    </w:p>
    <w:p>
      <w:pPr>
        <w:spacing w:after="60"/>
        <w:jc w:val="center"/>
      </w:pPr>
      <w:r>
        <w:rPr>
          <w:rFonts w:ascii="Arial" w:cs="Arial" w:eastAsia="Arial" w:hAnsi="Arial"/>
          <w:b/>
          <w:bCs/>
          <w:color w:val="1B2A4A"/>
          <w:sz w:val="32"/>
          <w:szCs w:val="32"/>
        </w:rPr>
        <w:t xml:space="preserve">Executive Implementation Plan</w:t>
      </w:r>
    </w:p>
    <w:p>
      <w:pPr>
        <w:spacing w:after="60"/>
        <w:jc w:val="center"/>
      </w:pPr>
      <w:r>
        <w:rPr>
          <w:rFonts w:ascii="Arial" w:cs="Arial" w:eastAsia="Arial" w:hAnsi="Arial"/>
          <w:color w:val="475569"/>
          <w:sz w:val="20"/>
          <w:szCs w:val="20"/>
        </w:rPr>
        <w:t xml:space="preserve">CPT Engine Architecture  |  Iris AI  |  Data Security  |  Deployment Models</w:t>
      </w:r>
    </w:p>
    <w:p>
      <w:pPr>
        <w:spacing w:after="600"/>
      </w:pPr>
    </w:p>
    <w:p>
      <w:pPr>
        <w:spacing w:after="60"/>
        <w:jc w:val="center"/>
      </w:pPr>
      <w:r>
        <w:rPr>
          <w:rFonts w:ascii="Arial" w:cs="Arial" w:eastAsia="Arial" w:hAnsi="Arial"/>
          <w:color w:val="94A3B8"/>
          <w:sz w:val="22"/>
          <w:szCs w:val="22"/>
        </w:rPr>
        <w:t xml:space="preserve">April 2026  |  Version 2.0  |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sz w:val="22"/>
          <w:szCs w:val="22"/>
        </w:rPr>
        <w:t xml:space="preserve">Prism is a platform intelligence product that gives enterprises a unified, real-time knowledge graph over their entire technology estate. It connects across every platform in the toolchain and resolves entities into a single, queryable graph powered by the patent-pending Convergent Perspective Topology (CPT) engine.</w:t>
      </w:r>
    </w:p>
    <w:p>
      <w:pPr>
        <w:spacing w:after="160"/>
      </w:pPr>
      <w:r>
        <w:rPr>
          <w:rFonts w:ascii="Arial" w:cs="Arial" w:eastAsia="Arial" w:hAnsi="Arial"/>
          <w:sz w:val="22"/>
          <w:szCs w:val="22"/>
        </w:rPr>
        <w:t xml:space="preserve">The product is purpose-built for enterprises operating 100 or more platform tools. Prism eliminates fragmented visibility by providing every persona with a contextual lens, powered by Iris, a model-agnostic AI assistant grounded exclusively in the customer's infrastructure data and documents.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DBEAFE" w:val="clear"/>
            <w:tcMar>
              <w:top w:type="dxa" w:w="100"/>
              <w:left w:type="dxa" w:w="140"/>
              <w:bottom w:type="dxa" w:w="100"/>
              <w:right w:type="dxa" w:w="140"/>
            </w:tcMar>
          </w:tcPr>
          <w:p>
            <w:r>
              <w:rPr>
                <w:rFonts w:ascii="Arial" w:cs="Arial" w:eastAsia="Arial" w:hAnsi="Arial"/>
                <w:i/>
                <w:iCs/>
                <w:color w:val="1E3A5F"/>
                <w:sz w:val="20"/>
                <w:szCs w:val="20"/>
              </w:rPr>
              <w:t xml:space="preserve">What makes Prism different: The CPT engine matches entities across platforms by topological shape, not by name. Combined with document intelligence that reads Word, Excel, PDF, and Confluence, Prism is the only product that merges live infrastructure state with business intent, ownership, and compliance evidence into one graph.</w:t>
            </w:r>
          </w:p>
        </w:tc>
      </w:tr>
    </w:tbl>
    <w:p>
      <w:pPr>
        <w:spacing w:after="120"/>
      </w:pPr>
    </w:p>
    <w:p>
      <w:pPr>
        <w:pStyle w:val="ListParagraph"/>
        <w:numPr>
          <w:ilvl w:val="0"/>
          <w:numId w:val="2"/>
        </w:numPr>
        <w:spacing w:after="80"/>
      </w:pPr>
      <w:r>
        <w:rPr>
          <w:rFonts w:ascii="Arial" w:cs="Arial" w:eastAsia="Arial" w:hAnsi="Arial"/>
          <w:b/>
          <w:bCs/>
          <w:sz w:val="22"/>
          <w:szCs w:val="22"/>
        </w:rPr>
        <w:t xml:space="preserve">Data Engine: </w:t>
      </w:r>
      <w:r>
        <w:rPr>
          <w:rFonts w:ascii="Arial" w:cs="Arial" w:eastAsia="Arial" w:hAnsi="Arial"/>
          <w:sz w:val="22"/>
          <w:szCs w:val="22"/>
        </w:rPr>
        <w:t xml:space="preserve">Convergent Perspective Topology (CPT) — patent-pending, topological fingerprinting</w:t>
      </w:r>
    </w:p>
    <w:p>
      <w:pPr>
        <w:pStyle w:val="ListParagraph"/>
        <w:numPr>
          <w:ilvl w:val="0"/>
          <w:numId w:val="2"/>
        </w:numPr>
        <w:spacing w:after="80"/>
      </w:pPr>
      <w:r>
        <w:rPr>
          <w:rFonts w:ascii="Arial" w:cs="Arial" w:eastAsia="Arial" w:hAnsi="Arial"/>
          <w:b/>
          <w:bCs/>
          <w:sz w:val="22"/>
          <w:szCs w:val="22"/>
        </w:rPr>
        <w:t xml:space="preserve">AI Assistant: </w:t>
      </w:r>
      <w:r>
        <w:rPr>
          <w:rFonts w:ascii="Arial" w:cs="Arial" w:eastAsia="Arial" w:hAnsi="Arial"/>
          <w:sz w:val="22"/>
          <w:szCs w:val="22"/>
        </w:rPr>
        <w:t xml:space="preserve">Iris — model-agnostic, graph-grounded, zero hallucination by design</w:t>
      </w:r>
    </w:p>
    <w:p>
      <w:pPr>
        <w:pStyle w:val="ListParagraph"/>
        <w:numPr>
          <w:ilvl w:val="0"/>
          <w:numId w:val="2"/>
        </w:numPr>
        <w:spacing w:after="80"/>
      </w:pPr>
      <w:r>
        <w:rPr>
          <w:rFonts w:ascii="Arial" w:cs="Arial" w:eastAsia="Arial" w:hAnsi="Arial"/>
          <w:b/>
          <w:bCs/>
          <w:sz w:val="22"/>
          <w:szCs w:val="22"/>
        </w:rPr>
        <w:t xml:space="preserve">Document Intelligence: </w:t>
      </w:r>
      <w:r>
        <w:rPr>
          <w:rFonts w:ascii="Arial" w:cs="Arial" w:eastAsia="Arial" w:hAnsi="Arial"/>
          <w:sz w:val="22"/>
          <w:szCs w:val="22"/>
        </w:rPr>
        <w:t xml:space="preserve">Reads .docx, .xlsx, .pdf, Swagger, Confluence, SharePoint</w:t>
      </w:r>
    </w:p>
    <w:p>
      <w:pPr>
        <w:pStyle w:val="ListParagraph"/>
        <w:numPr>
          <w:ilvl w:val="0"/>
          <w:numId w:val="2"/>
        </w:numPr>
        <w:spacing w:after="80"/>
      </w:pPr>
      <w:r>
        <w:rPr>
          <w:rFonts w:ascii="Arial" w:cs="Arial" w:eastAsia="Arial" w:hAnsi="Arial"/>
          <w:b/>
          <w:bCs/>
          <w:sz w:val="22"/>
          <w:szCs w:val="22"/>
        </w:rPr>
        <w:t xml:space="preserve">Delivery: </w:t>
      </w:r>
      <w:r>
        <w:rPr>
          <w:rFonts w:ascii="Arial" w:cs="Arial" w:eastAsia="Arial" w:hAnsi="Arial"/>
          <w:sz w:val="22"/>
          <w:szCs w:val="22"/>
        </w:rPr>
        <w:t xml:space="preserve">Self-hosted first (K8s-native), SaaS tier in Phase 3</w:t>
      </w:r>
    </w:p>
    <w:p>
      <w:pPr>
        <w:pStyle w:val="ListParagraph"/>
        <w:numPr>
          <w:ilvl w:val="0"/>
          <w:numId w:val="2"/>
        </w:numPr>
        <w:spacing w:after="80"/>
      </w:pPr>
      <w:r>
        <w:rPr>
          <w:rFonts w:ascii="Arial" w:cs="Arial" w:eastAsia="Arial" w:hAnsi="Arial"/>
          <w:b/>
          <w:bCs/>
          <w:sz w:val="22"/>
          <w:szCs w:val="22"/>
        </w:rPr>
        <w:t xml:space="preserve">Security: </w:t>
      </w:r>
      <w:r>
        <w:rPr>
          <w:rFonts w:ascii="Arial" w:cs="Arial" w:eastAsia="Arial" w:hAnsi="Arial"/>
          <w:sz w:val="22"/>
          <w:szCs w:val="22"/>
        </w:rPr>
        <w:t xml:space="preserve">Per-tenant encryption, RBAC, injection prevention, SOC2/PCI-DSS ready</w:t>
      </w:r>
    </w:p>
    <w:p>
      <w:r>
        <w:br w:type="page"/>
      </w:r>
    </w:p>
    <w:p>
      <w:pPr>
        <w:pStyle w:val="Heading1"/>
      </w:pPr>
      <w:r>
        <w:t xml:space="preserve">CPT Engine — Patent-Pending Core Innovation</w:t>
      </w:r>
    </w:p>
    <w:p>
      <w:pPr>
        <w:spacing w:after="160"/>
      </w:pPr>
      <w:r>
        <w:rPr>
          <w:rFonts w:ascii="Arial" w:cs="Arial" w:eastAsia="Arial" w:hAnsi="Arial"/>
          <w:sz w:val="22"/>
          <w:szCs w:val="22"/>
        </w:rPr>
        <w:t xml:space="preserve">The CPT engine is the foundational innovation of Prism. Every competitor relies on name-based matching to unify data across platforms, which breaks constantly. CPT matches entities by topological shape — how they connect, behave, and relate — not what they are called.</w:t>
      </w:r>
    </w:p>
    <w:p>
      <w:pPr>
        <w:spacing w:after="120"/>
      </w:pPr>
    </w:p>
    <w:p>
      <w:pPr>
        <w:pStyle w:val="Heading2"/>
      </w:pPr>
      <w:r>
        <w:t xml:space="preserve">CPT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2563EB"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CHANNEL 1: Platform APIs</w:t>
            </w:r>
          </w:p>
          <w:p>
            <w:pPr>
              <w:spacing w:after="0"/>
              <w:jc w:val="center"/>
            </w:pPr>
            <w:r>
              <w:rPr>
                <w:rFonts w:ascii="Arial" w:cs="Arial" w:eastAsia="Arial" w:hAnsi="Arial"/>
                <w:color w:val="93C5FD"/>
                <w:sz w:val="14"/>
                <w:szCs w:val="14"/>
              </w:rPr>
              <w:t xml:space="preserve">What EXISTS right now</w:t>
            </w:r>
          </w:p>
        </w:tc>
        <w:tc>
          <w:tcPr>
            <w:tcW w:type="dxa" w:w="4680"/>
            <w:tcBorders>
              <w:top w:val="none" w:sz="0"/>
              <w:left w:val="none" w:sz="0"/>
              <w:bottom w:val="none" w:sz="0"/>
              <w:right w:val="none" w:sz="0"/>
            </w:tcBorders>
            <w:shd w:fill="92400E"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CHANNEL 2: Documents</w:t>
            </w:r>
          </w:p>
          <w:p>
            <w:pPr>
              <w:spacing w:after="0"/>
              <w:jc w:val="center"/>
            </w:pPr>
            <w:r>
              <w:rPr>
                <w:rFonts w:ascii="Arial" w:cs="Arial" w:eastAsia="Arial" w:hAnsi="Arial"/>
                <w:color w:val="FEF3C7"/>
                <w:sz w:val="14"/>
                <w:szCs w:val="14"/>
              </w:rPr>
              <w:t xml:space="preserve">WHY it exists + WHO owns it</w:t>
            </w:r>
          </w:p>
        </w:tc>
      </w:tr>
      <w:tr>
        <w:tc>
          <w:tcPr>
            <w:tcW w:type="dxa" w:w="4680"/>
            <w:tcBorders>
              <w:top w:val="none" w:sz="0"/>
              <w:left w:val="none" w:sz="0"/>
              <w:bottom w:val="none" w:sz="0"/>
              <w:right w:val="none" w:sz="0"/>
            </w:tcBorders>
            <w:shd w:fill="DBEAFE" w:val="clear"/>
            <w:tcMar>
              <w:top w:type="dxa" w:w="60"/>
              <w:left w:type="dxa" w:w="100"/>
              <w:bottom w:type="dxa" w:w="60"/>
              <w:right w:type="dxa" w:w="100"/>
            </w:tcMar>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tblGrid>
            <w:tr>
              <w:tc>
                <w:tcPr>
                  <w:tcW w:type="dxa" w:w="1493"/>
                  <w:gridSpan w:val="1"/>
                  <w:tcBorders>
                    <w:top w:val="none" w:sz="0"/>
                    <w:left w:val="none" w:sz="0"/>
                    <w:bottom w:val="none" w:sz="0"/>
                    <w:right w:val="none" w:sz="0"/>
                  </w:tcBorders>
                  <w:shd w:fill="3B82F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Kubernetes</w:t>
                  </w:r>
                </w:p>
              </w:tc>
              <w:tc>
                <w:tcPr>
                  <w:tcW w:type="dxa" w:w="1493"/>
                  <w:gridSpan w:val="1"/>
                  <w:tcBorders>
                    <w:top w:val="none" w:sz="0"/>
                    <w:left w:val="none" w:sz="0"/>
                    <w:bottom w:val="none" w:sz="0"/>
                    <w:right w:val="none" w:sz="0"/>
                  </w:tcBorders>
                  <w:shd w:fill="1D9E75"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GitHub</w:t>
                  </w:r>
                </w:p>
              </w:tc>
              <w:tc>
                <w:tcPr>
                  <w:tcW w:type="dxa" w:w="1493"/>
                  <w:gridSpan w:val="1"/>
                  <w:tcBorders>
                    <w:top w:val="none" w:sz="0"/>
                    <w:left w:val="none" w:sz="0"/>
                    <w:bottom w:val="none" w:sz="0"/>
                    <w:right w:val="none" w:sz="0"/>
                  </w:tcBorders>
                  <w:shd w:fill="7C3AED"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Datadog</w:t>
                  </w:r>
                </w:p>
              </w:tc>
            </w:tr>
            <w:tr>
              <w:trPr>
                <w:trHeight w:val="60" w:hRule="exact"/>
              </w:trPr>
              <w:tc>
                <w:tcPr>
                  <w:tcW w:type="dxa" w:w="1493"/>
                  <w:gridSpan w:val="1"/>
                  <w:tcBorders>
                    <w:top w:val="none" w:sz="0"/>
                    <w:left w:val="none" w:sz="0"/>
                    <w:bottom w:val="none" w:sz="0"/>
                    <w:right w:val="none" w:sz="0"/>
                  </w:tcBorders>
                  <w:shd w:fill="FFFFFF" w:val="clear"/>
                </w:tcPr>
                <w:p>
                  <w:pPr>
                    <w:spacing w:after="0"/>
                  </w:pPr>
                </w:p>
              </w:tc>
              <w:tc>
                <w:tcPr>
                  <w:tcW w:type="dxa" w:w="1493"/>
                  <w:gridSpan w:val="1"/>
                  <w:tcBorders>
                    <w:top w:val="none" w:sz="0"/>
                    <w:left w:val="none" w:sz="0"/>
                    <w:bottom w:val="none" w:sz="0"/>
                    <w:right w:val="none" w:sz="0"/>
                  </w:tcBorders>
                  <w:shd w:fill="FFFFFF" w:val="clear"/>
                </w:tcPr>
                <w:p>
                  <w:pPr>
                    <w:spacing w:after="0"/>
                  </w:pPr>
                </w:p>
              </w:tc>
              <w:tc>
                <w:tcPr>
                  <w:tcW w:type="dxa" w:w="1493"/>
                  <w:gridSpan w:val="1"/>
                  <w:tcBorders>
                    <w:top w:val="none" w:sz="0"/>
                    <w:left w:val="none" w:sz="0"/>
                    <w:bottom w:val="none" w:sz="0"/>
                    <w:right w:val="none" w:sz="0"/>
                  </w:tcBorders>
                  <w:shd w:fill="FFFFFF" w:val="clear"/>
                </w:tcPr>
                <w:p>
                  <w:pPr>
                    <w:spacing w:after="0"/>
                  </w:pPr>
                </w:p>
              </w:tc>
            </w:tr>
            <w:tr>
              <w:tc>
                <w:tcPr>
                  <w:tcW w:type="dxa" w:w="1493"/>
                  <w:gridSpan w:val="1"/>
                  <w:tcBorders>
                    <w:top w:val="none" w:sz="0"/>
                    <w:left w:val="none" w:sz="0"/>
                    <w:bottom w:val="none" w:sz="0"/>
                    <w:right w:val="none" w:sz="0"/>
                  </w:tcBorders>
                  <w:shd w:fill="D9770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ArgoCD</w:t>
                  </w:r>
                </w:p>
              </w:tc>
              <w:tc>
                <w:tcPr>
                  <w:tcW w:type="dxa" w:w="1493"/>
                  <w:gridSpan w:val="1"/>
                  <w:tcBorders>
                    <w:top w:val="none" w:sz="0"/>
                    <w:left w:val="none" w:sz="0"/>
                    <w:bottom w:val="none" w:sz="0"/>
                    <w:right w:val="none" w:sz="0"/>
                  </w:tcBorders>
                  <w:shd w:fill="DC262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Kafka</w:t>
                  </w:r>
                </w:p>
              </w:tc>
              <w:tc>
                <w:tcPr>
                  <w:tcW w:type="dxa" w:w="1493"/>
                  <w:gridSpan w:val="1"/>
                  <w:tcBorders>
                    <w:top w:val="none" w:sz="0"/>
                    <w:left w:val="none" w:sz="0"/>
                    <w:bottom w:val="none" w:sz="0"/>
                    <w:right w:val="none" w:sz="0"/>
                  </w:tcBorders>
                  <w:shd w:fill="0891B2"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API Connect</w:t>
                  </w:r>
                </w:p>
              </w:tc>
            </w:tr>
          </w:tbl>
          <w:p/>
        </w:tc>
        <w:tc>
          <w:tcPr>
            <w:tcW w:type="dxa" w:w="4680"/>
            <w:tcBorders>
              <w:top w:val="none" w:sz="0"/>
              <w:left w:val="none" w:sz="0"/>
              <w:bottom w:val="none" w:sz="0"/>
              <w:right w:val="none" w:sz="0"/>
            </w:tcBorders>
            <w:shd w:fill="FEF3C7" w:val="clear"/>
            <w:tcMar>
              <w:top w:type="dxa" w:w="60"/>
              <w:left w:type="dxa" w:w="100"/>
              <w:bottom w:type="dxa" w:w="60"/>
              <w:right w:type="dxa" w:w="100"/>
            </w:tcMar>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1493"/>
              <w:gridCol w:w="1493"/>
              <w:gridCol w:w="1493"/>
            </w:tblGrid>
            <w:tr>
              <w:tc>
                <w:tcPr>
                  <w:tcW w:type="dxa" w:w="1493"/>
                  <w:gridSpan w:val="1"/>
                  <w:tcBorders>
                    <w:top w:val="none" w:sz="0"/>
                    <w:left w:val="none" w:sz="0"/>
                    <w:bottom w:val="none" w:sz="0"/>
                    <w:right w:val="none" w:sz="0"/>
                  </w:tcBorders>
                  <w:shd w:fill="D9770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.docx</w:t>
                  </w:r>
                </w:p>
              </w:tc>
              <w:tc>
                <w:tcPr>
                  <w:tcW w:type="dxa" w:w="1493"/>
                  <w:gridSpan w:val="1"/>
                  <w:tcBorders>
                    <w:top w:val="none" w:sz="0"/>
                    <w:left w:val="none" w:sz="0"/>
                    <w:bottom w:val="none" w:sz="0"/>
                    <w:right w:val="none" w:sz="0"/>
                  </w:tcBorders>
                  <w:shd w:fill="D9770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.xlsx</w:t>
                  </w:r>
                </w:p>
              </w:tc>
              <w:tc>
                <w:tcPr>
                  <w:tcW w:type="dxa" w:w="1493"/>
                  <w:gridSpan w:val="1"/>
                  <w:tcBorders>
                    <w:top w:val="none" w:sz="0"/>
                    <w:left w:val="none" w:sz="0"/>
                    <w:bottom w:val="none" w:sz="0"/>
                    <w:right w:val="none" w:sz="0"/>
                  </w:tcBorders>
                  <w:shd w:fill="D97706"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.pdf</w:t>
                  </w:r>
                </w:p>
              </w:tc>
            </w:tr>
            <w:tr>
              <w:trPr>
                <w:trHeight w:val="60" w:hRule="exact"/>
              </w:trPr>
              <w:tc>
                <w:tcPr>
                  <w:tcW w:type="dxa" w:w="1493"/>
                  <w:gridSpan w:val="1"/>
                  <w:tcBorders>
                    <w:top w:val="none" w:sz="0"/>
                    <w:left w:val="none" w:sz="0"/>
                    <w:bottom w:val="none" w:sz="0"/>
                    <w:right w:val="none" w:sz="0"/>
                  </w:tcBorders>
                  <w:shd w:fill="FFFFFF" w:val="clear"/>
                </w:tcPr>
                <w:p>
                  <w:pPr>
                    <w:spacing w:after="0"/>
                  </w:pPr>
                </w:p>
              </w:tc>
              <w:tc>
                <w:tcPr>
                  <w:tcW w:type="dxa" w:w="1493"/>
                  <w:gridSpan w:val="1"/>
                  <w:tcBorders>
                    <w:top w:val="none" w:sz="0"/>
                    <w:left w:val="none" w:sz="0"/>
                    <w:bottom w:val="none" w:sz="0"/>
                    <w:right w:val="none" w:sz="0"/>
                  </w:tcBorders>
                  <w:shd w:fill="FFFFFF" w:val="clear"/>
                </w:tcPr>
                <w:p>
                  <w:pPr>
                    <w:spacing w:after="0"/>
                  </w:pPr>
                </w:p>
              </w:tc>
              <w:tc>
                <w:tcPr>
                  <w:tcW w:type="dxa" w:w="1493"/>
                  <w:gridSpan w:val="1"/>
                  <w:tcBorders>
                    <w:top w:val="none" w:sz="0"/>
                    <w:left w:val="none" w:sz="0"/>
                    <w:bottom w:val="none" w:sz="0"/>
                    <w:right w:val="none" w:sz="0"/>
                  </w:tcBorders>
                  <w:shd w:fill="FFFFFF" w:val="clear"/>
                </w:tcPr>
                <w:p>
                  <w:pPr>
                    <w:spacing w:after="0"/>
                  </w:pPr>
                </w:p>
              </w:tc>
            </w:tr>
            <w:tr>
              <w:tc>
                <w:tcPr>
                  <w:tcW w:type="dxa" w:w="1493"/>
                  <w:gridSpan w:val="1"/>
                  <w:tcBorders>
                    <w:top w:val="none" w:sz="0"/>
                    <w:left w:val="none" w:sz="0"/>
                    <w:bottom w:val="none" w:sz="0"/>
                    <w:right w:val="none" w:sz="0"/>
                  </w:tcBorders>
                  <w:shd w:fill="92400E"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Confluence</w:t>
                  </w:r>
                </w:p>
              </w:tc>
              <w:tc>
                <w:tcPr>
                  <w:tcW w:type="dxa" w:w="1493"/>
                  <w:gridSpan w:val="1"/>
                  <w:tcBorders>
                    <w:top w:val="none" w:sz="0"/>
                    <w:left w:val="none" w:sz="0"/>
                    <w:bottom w:val="none" w:sz="0"/>
                    <w:right w:val="none" w:sz="0"/>
                  </w:tcBorders>
                  <w:shd w:fill="92400E"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Swagger</w:t>
                  </w:r>
                </w:p>
              </w:tc>
              <w:tc>
                <w:tcPr>
                  <w:tcW w:type="dxa" w:w="1493"/>
                  <w:gridSpan w:val="1"/>
                  <w:tcBorders>
                    <w:top w:val="none" w:sz="0"/>
                    <w:left w:val="none" w:sz="0"/>
                    <w:bottom w:val="none" w:sz="0"/>
                    <w:right w:val="none" w:sz="0"/>
                  </w:tcBorders>
                  <w:shd w:fill="92400E" w:val="clear"/>
                  <w:tcMar>
                    <w:top w:type="dxa" w:w="60"/>
                    <w:left w:type="dxa" w:w="100"/>
                    <w:bottom w:type="dxa" w:w="60"/>
                    <w:right w:type="dxa" w:w="100"/>
                  </w:tcMar>
                  <w:vAlign w:val="center"/>
                </w:tcPr>
                <w:p>
                  <w:pPr>
                    <w:spacing w:after="0"/>
                    <w:jc w:val="center"/>
                  </w:pPr>
                  <w:r>
                    <w:rPr>
                      <w:rFonts w:ascii="Arial" w:cs="Arial" w:eastAsia="Arial" w:hAnsi="Arial"/>
                      <w:b/>
                      <w:bCs/>
                      <w:color w:val="FFFFFF"/>
                      <w:sz w:val="15"/>
                      <w:szCs w:val="15"/>
                    </w:rPr>
                    <w:t xml:space="preserve">SharePoint</w:t>
                  </w:r>
                </w:p>
              </w:tc>
            </w:tr>
          </w:tbl>
          <w:p/>
        </w:tc>
      </w:tr>
      <w:tr>
        <w:trPr>
          <w:trHeight w:val="300" w:hRule="exact"/>
        </w:trPr>
        <w:tc>
          <w:tcPr>
            <w:tcW w:type="dxa" w:w="4680"/>
            <w:gridSpan w:val="2"/>
            <w:tcBorders>
              <w:top w:val="none" w:sz="0"/>
              <w:left w:val="none" w:sz="0"/>
              <w:bottom w:val="none" w:sz="0"/>
              <w:right w:val="none" w:sz="0"/>
            </w:tcBorders>
          </w:tcPr>
          <w:p>
            <w:pPr>
              <w:spacing w:after="0"/>
              <w:jc w:val="center"/>
            </w:pPr>
            <w:r>
              <w:rPr>
                <w:rFonts w:ascii="Arial" w:cs="Arial" w:eastAsia="Arial" w:hAnsi="Arial"/>
                <w:b/>
                <w:bCs/>
                <w:color w:val="94A3B8"/>
                <w:sz w:val="24"/>
                <w:szCs w:val="24"/>
              </w:rPr>
              <w:t xml:space="preserve">▼    ▼</w:t>
            </w:r>
          </w:p>
        </w:tc>
      </w:tr>
      <w:tr>
        <w:tc>
          <w:tcPr>
            <w:tcW w:type="dxa" w:w="9360"/>
            <w:tcBorders>
              <w:top w:val="none" w:sz="0"/>
              <w:left w:val="none" w:sz="0"/>
              <w:bottom w:val="none" w:sz="0"/>
              <w:right w:val="none" w:sz="0"/>
            </w:tcBorders>
            <w:shd w:fill="7C3AED"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LAYER 2: Topological Fingerprinting</w:t>
            </w:r>
          </w:p>
          <w:p>
            <w:pPr>
              <w:spacing w:after="0"/>
              <w:jc w:val="center"/>
            </w:pPr>
            <w:r>
              <w:rPr>
                <w:rFonts w:ascii="Arial" w:cs="Arial" w:eastAsia="Arial" w:hAnsi="Arial"/>
                <w:color w:val="EDE9FE"/>
                <w:sz w:val="14"/>
                <w:szCs w:val="14"/>
              </w:rPr>
              <w:t xml:space="preserve">Match by graph SHAPE — Structural (35%) + Resource (25%) + Semantic (20%) + Behavioral (10%) + Temporal (10%)</w:t>
            </w:r>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w:t>
            </w:r>
          </w:p>
        </w:tc>
      </w:tr>
      <w:tr>
        <w:tc>
          <w:tcPr>
            <w:tcW w:type="dxa" w:w="9360"/>
            <w:tcBorders>
              <w:top w:val="none" w:sz="0"/>
              <w:left w:val="none" w:sz="0"/>
              <w:bottom w:val="none" w:sz="0"/>
              <w:right w:val="none" w:sz="0"/>
            </w:tcBorders>
            <w:shd w:fill="115E59"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LAYER 3: Perspective Convergence</w:t>
            </w:r>
          </w:p>
          <w:p>
            <w:pPr>
              <w:spacing w:after="0"/>
              <w:jc w:val="center"/>
            </w:pPr>
            <w:r>
              <w:rPr>
                <w:rFonts w:ascii="Arial" w:cs="Arial" w:eastAsia="Arial" w:hAnsi="Arial"/>
                <w:color w:val="CCFBF1"/>
                <w:sz w:val="14"/>
                <w:szCs w:val="14"/>
              </w:rPr>
              <w:t xml:space="preserve">Hungarian algorithm for globally optimal entity alignment across all platforms simultaneously</w:t>
            </w:r>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w:t>
            </w:r>
          </w:p>
        </w:tc>
      </w:tr>
      <w:tr>
        <w:tc>
          <w:tcPr>
            <w:tcW w:type="dxa" w:w="9360"/>
            <w:tcBorders>
              <w:top w:val="none" w:sz="0"/>
              <w:left w:val="none" w:sz="0"/>
              <w:bottom w:val="none" w:sz="0"/>
              <w:right w:val="none" w:sz="0"/>
            </w:tcBorders>
            <w:shd w:fill="2563EB"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LAYER 4: Confidence-Weighted Truth Resolution</w:t>
            </w:r>
          </w:p>
          <w:p>
            <w:pPr>
              <w:spacing w:after="0"/>
              <w:jc w:val="center"/>
            </w:pPr>
            <w:r>
              <w:rPr>
                <w:rFonts w:ascii="Arial" w:cs="Arial" w:eastAsia="Arial" w:hAnsi="Arial"/>
                <w:color w:val="93C5FD"/>
                <w:sz w:val="14"/>
                <w:szCs w:val="14"/>
              </w:rPr>
              <w:t xml:space="preserve">K8s → replicas | Datadog → latency | Docs → owner, SLA, DR classification</w:t>
            </w:r>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w:t>
            </w:r>
          </w:p>
        </w:tc>
      </w:tr>
      <w:tr>
        <w:tc>
          <w:tcPr>
            <w:tcW w:type="dxa" w:w="9360"/>
            <w:tcBorders>
              <w:top w:val="none" w:sz="0"/>
              <w:left w:val="none" w:sz="0"/>
              <w:bottom w:val="none" w:sz="0"/>
              <w:right w:val="none" w:sz="0"/>
            </w:tcBorders>
            <w:shd w:fill="1B2A4A"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LAYER 5: Causal Graph Construction</w:t>
            </w:r>
          </w:p>
          <w:p>
            <w:pPr>
              <w:spacing w:after="0"/>
              <w:jc w:val="center"/>
            </w:pPr>
            <w:r>
              <w:rPr>
                <w:rFonts w:ascii="Arial" w:cs="Arial" w:eastAsia="Arial" w:hAnsi="Arial"/>
                <w:color w:val="93C5FD"/>
                <w:sz w:val="14"/>
                <w:szCs w:val="14"/>
              </w:rPr>
              <w:t xml:space="preserve">Infers WHY things are connected via temporal signal correlation — not just THAT they are</w:t>
            </w:r>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w:t>
            </w:r>
          </w:p>
        </w:tc>
      </w:tr>
      <w:tr>
        <w:tc>
          <w:tcPr>
            <w:tcW w:type="dxa" w:w="9360"/>
            <w:tcBorders>
              <w:top w:val="none" w:sz="0"/>
              <w:left w:val="none" w:sz="0"/>
              <w:bottom w:val="none" w:sz="0"/>
              <w:right w:val="none" w:sz="0"/>
            </w:tcBorders>
            <w:shd w:fill="059669"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UNIFIED KNOWLEDGE GRAPH</w:t>
            </w:r>
          </w:p>
          <w:p>
            <w:pPr>
              <w:spacing w:after="0"/>
              <w:jc w:val="center"/>
            </w:pPr>
            <w:r>
              <w:rPr>
                <w:rFonts w:ascii="Arial" w:cs="Arial" w:eastAsia="Arial" w:hAnsi="Arial"/>
                <w:color w:val="D1FAE5"/>
                <w:sz w:val="14"/>
                <w:szCs w:val="14"/>
              </w:rPr>
              <w:t xml:space="preserve">Neo4j — Live state + business context + ownership + compliance + intent</w:t>
            </w:r>
          </w:p>
        </w:tc>
      </w:tr>
    </w:tbl>
    <w:p>
      <w:pPr>
        <w:spacing w:after="240" w:before="80"/>
        <w:jc w:val="center"/>
      </w:pPr>
      <w:r>
        <w:rPr>
          <w:rFonts w:ascii="Arial" w:cs="Arial" w:eastAsia="Arial" w:hAnsi="Arial"/>
          <w:i/>
          <w:iCs/>
          <w:color w:val="475569"/>
          <w:sz w:val="18"/>
          <w:szCs w:val="18"/>
        </w:rPr>
        <w:t xml:space="preserve">Figure 1: CPT Engine — Dual-Channel Architecture with Five Processing Layers</w:t>
      </w:r>
    </w:p>
    <w:p>
      <w:pPr>
        <w:pStyle w:val="Heading2"/>
      </w:pPr>
      <w:r>
        <w:t xml:space="preserve">Topological Fingerprinting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c>
          <w:tcPr>
            <w:tcW w:type="dxa" w:w="16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10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676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It Measures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Structural</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35%</w:t>
            </w:r>
          </w:p>
        </w:tc>
        <w:tc>
          <w:tcPr>
            <w:tcW w:type="dxa" w:w="6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Connectivity pattern: in/out degree by entity type, neighbor signature, clustering coefficient</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Resource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25%</w:t>
            </w:r>
          </w:p>
        </w:tc>
        <w:tc>
          <w:tcPr>
            <w:tcW w:type="dxa" w:w="6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Ports exposed, protocol hints (HTTP, gRPC, Kafka, JDBC), inferred resource class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Semantic</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20%</w:t>
            </w:r>
          </w:p>
        </w:tc>
        <w:tc>
          <w:tcPr>
            <w:tcW w:type="dxa" w:w="6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Dense vector embedding of name + labels. Semantic similarity, not exact match</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Behavioral</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10%</w:t>
            </w:r>
          </w:p>
        </w:tc>
        <w:tc>
          <w:tcPr>
            <w:tcW w:type="dxa" w:w="67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Request rate, error rate, deployment frequency buckets from APM data</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Temporal</w:t>
            </w:r>
          </w:p>
        </w:tc>
        <w:tc>
          <w:tcPr>
            <w:tcW w:type="dxa" w:w="10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10%</w:t>
            </w:r>
          </w:p>
        </w:tc>
        <w:tc>
          <w:tcPr>
            <w:tcW w:type="dxa" w:w="67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Entity age, change velocity. Disambiguates similar entities by lifecycle pattern</w:t>
            </w:r>
          </w:p>
        </w:tc>
      </w:tr>
    </w:tbl>
    <w:p>
      <w:pPr>
        <w:spacing w:after="120"/>
      </w:pPr>
    </w:p>
    <w:p>
      <w:pPr>
        <w:pStyle w:val="Heading2"/>
      </w:pPr>
      <w:r>
        <w:t xml:space="preserve">Document Intelligence — What Gets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 Type</w:t>
            </w:r>
          </w:p>
        </w:tc>
        <w:tc>
          <w:tcPr>
            <w:tcW w:type="dxa" w:w="358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Extracted Intelligence</w:t>
            </w:r>
          </w:p>
        </w:tc>
        <w:tc>
          <w:tcPr>
            <w:tcW w:type="dxa" w:w="358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Authority Domain</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Architecture docs</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Service names, dependencies, data flows, business justification</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Business purpose, design intent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CMDB exports (.xlsx)</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App inventory, ownership, criticality, DR classification, cost centers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Ownership, criticality, DR plan</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API specs (Swagger)</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Endpoints, schemas, auth requirements, field-level definitions</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API contract, field definitions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Compliance reports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Audit findings, policy status, remediation timelines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Compliance status, audit findings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SLA documents</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Availability targets, latency thresholds, penalty clauses</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SLA/SLO targets, penalties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Confluence/SharePoint</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Runbooks, incident procedures, architecture decisions</w:t>
            </w:r>
          </w:p>
        </w:tc>
        <w:tc>
          <w:tcPr>
            <w:tcW w:type="dxa" w:w="35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Operational procedures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Roadmaps (.xlsx)</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Planned features, deprecation timelines, migration schedules</w:t>
            </w:r>
          </w:p>
        </w:tc>
        <w:tc>
          <w:tcPr>
            <w:tcW w:type="dxa" w:w="35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Future state, planned changes</w:t>
            </w:r>
          </w:p>
        </w:tc>
      </w:tr>
    </w:tbl>
    <w:p>
      <w:r>
        <w:br w:type="page"/>
      </w:r>
    </w:p>
    <w:p>
      <w:pPr>
        <w:pStyle w:val="Heading1"/>
      </w:pPr>
      <w:r>
        <w:t xml:space="preserve">Iris — AI Assistant Architecture</w:t>
      </w:r>
    </w:p>
    <w:p>
      <w:pPr>
        <w:spacing w:after="160"/>
      </w:pPr>
      <w:r>
        <w:rPr>
          <w:rFonts w:ascii="Arial" w:cs="Arial" w:eastAsia="Arial" w:hAnsi="Arial"/>
          <w:sz w:val="22"/>
          <w:szCs w:val="22"/>
        </w:rPr>
        <w:t xml:space="preserve">Iris is Prism's graph-grounded AI assistant. Unlike general-purpose chatbots, Iris never answers from training data. Every factual claim traces back to a specific node in the knowledge graph or a specific passage in an uploaded document.</w:t>
      </w:r>
    </w:p>
    <w:p>
      <w:pPr>
        <w:spacing w:after="120"/>
      </w:pPr>
    </w:p>
    <w:p>
      <w:pPr>
        <w:pStyle w:val="Heading2"/>
      </w:pPr>
      <w:r>
        <w:t xml:space="preserve">Anti-Hallucination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IRIS — ANTI-HALLUCINATION PIPELINE</w:t>
            </w:r>
          </w:p>
        </w:tc>
      </w:tr>
      <w:tr>
        <w:tc>
          <w:tcPr>
            <w:tcW w:type="dxa" w:w="9360"/>
            <w:tcBorders>
              <w:top w:val="none" w:sz="0"/>
              <w:left w:val="none" w:sz="0"/>
              <w:bottom w:val="none" w:sz="0"/>
              <w:right w:val="none" w:sz="0"/>
            </w:tcBorders>
            <w:shd w:fill="F1F5F9" w:val="clear"/>
            <w:tcMar>
              <w:top w:type="dxa" w:w="60"/>
              <w:left w:type="dxa" w:w="100"/>
              <w:bottom w:type="dxa" w:w="60"/>
              <w:right w:type="dxa" w:w="100"/>
            </w:tcMar>
            <w:vAlign w:val="center"/>
          </w:tcPr>
          <w:p>
            <w:pPr>
              <w:spacing w:after="20"/>
              <w:jc w:val="center"/>
            </w:pPr>
            <w:r>
              <w:rPr>
                <w:rFonts w:ascii="Arial" w:cs="Arial" w:eastAsia="Arial" w:hAnsi="Arial"/>
                <w:b/>
                <w:bCs/>
                <w:color w:val="1E293B"/>
                <w:sz w:val="17"/>
                <w:szCs w:val="17"/>
              </w:rPr>
              <w:t xml:space="preserve">▶  User Question</w:t>
            </w:r>
          </w:p>
          <w:p>
            <w:pPr>
              <w:spacing w:after="0"/>
              <w:jc w:val="center"/>
            </w:pPr>
            <w:r>
              <w:rPr>
                <w:rFonts w:ascii="Arial" w:cs="Arial" w:eastAsia="Arial" w:hAnsi="Arial"/>
                <w:color w:val="475569"/>
                <w:sz w:val="14"/>
                <w:szCs w:val="14"/>
              </w:rPr>
              <w:t xml:space="preserve">Natural language query about infrastructure</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2563EB"/>
                <w:sz w:val="16"/>
                <w:szCs w:val="16"/>
              </w:rPr>
              <w:t xml:space="preserve">▼</w:t>
            </w:r>
          </w:p>
        </w:tc>
      </w:tr>
      <w:tr>
        <w:tc>
          <w:tcPr>
            <w:tcW w:type="dxa" w:w="9360"/>
            <w:tcBorders>
              <w:top w:val="none" w:sz="0"/>
              <w:left w:val="single" w:color="2563EB" w:sz="6"/>
              <w:bottom w:val="none" w:sz="0"/>
              <w:right w:val="none" w:sz="0"/>
            </w:tcBorders>
            <w:shd w:fill="DBEAFE" w:val="clear"/>
            <w:tcMar>
              <w:top w:type="dxa" w:w="100"/>
              <w:left w:type="dxa" w:w="140"/>
              <w:bottom w:type="dxa" w:w="100"/>
              <w:right w:type="dxa" w:w="140"/>
            </w:tcMar>
          </w:tcPr>
          <w:p>
            <w:pPr>
              <w:spacing w:after="20"/>
            </w:pPr>
            <w:r>
              <w:rPr>
                <w:rFonts w:ascii="Arial" w:cs="Arial" w:eastAsia="Arial" w:hAnsi="Arial"/>
                <w:b/>
                <w:bCs/>
                <w:color w:val="2563EB"/>
                <w:sz w:val="20"/>
                <w:szCs w:val="20"/>
              </w:rPr>
              <w:t xml:space="preserve">1. </w:t>
            </w:r>
            <w:r>
              <w:rPr>
                <w:rFonts w:ascii="Arial" w:cs="Arial" w:eastAsia="Arial" w:hAnsi="Arial"/>
                <w:b/>
                <w:bCs/>
                <w:color w:val="1B2A4A"/>
                <w:sz w:val="20"/>
                <w:szCs w:val="20"/>
              </w:rPr>
              <w:t xml:space="preserve">Classify Intent</w:t>
            </w:r>
          </w:p>
          <w:p>
            <w:pPr>
              <w:spacing w:after="0"/>
            </w:pPr>
            <w:r>
              <w:rPr>
                <w:rFonts w:ascii="Arial" w:cs="Arial" w:eastAsia="Arial" w:hAnsi="Arial"/>
                <w:color w:val="475569"/>
                <w:sz w:val="17"/>
                <w:szCs w:val="17"/>
              </w:rPr>
              <w:t xml:space="preserve">Entity lookup? Blast radius? Compliance?</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2563EB"/>
                <w:sz w:val="16"/>
                <w:szCs w:val="16"/>
              </w:rPr>
              <w:t xml:space="preserve">▼</w:t>
            </w:r>
          </w:p>
        </w:tc>
      </w:tr>
      <w:tr>
        <w:tc>
          <w:tcPr>
            <w:tcW w:type="dxa" w:w="9360"/>
            <w:tcBorders>
              <w:top w:val="none" w:sz="0"/>
              <w:left w:val="single" w:color="2563EB" w:sz="6"/>
              <w:bottom w:val="none" w:sz="0"/>
              <w:right w:val="none" w:sz="0"/>
            </w:tcBorders>
            <w:shd w:fill="DBEAFE" w:val="clear"/>
            <w:tcMar>
              <w:top w:type="dxa" w:w="100"/>
              <w:left w:type="dxa" w:w="140"/>
              <w:bottom w:type="dxa" w:w="100"/>
              <w:right w:type="dxa" w:w="140"/>
            </w:tcMar>
          </w:tcPr>
          <w:p>
            <w:pPr>
              <w:spacing w:after="20"/>
            </w:pPr>
            <w:r>
              <w:rPr>
                <w:rFonts w:ascii="Arial" w:cs="Arial" w:eastAsia="Arial" w:hAnsi="Arial"/>
                <w:b/>
                <w:bCs/>
                <w:color w:val="2563EB"/>
                <w:sz w:val="20"/>
                <w:szCs w:val="20"/>
              </w:rPr>
              <w:t xml:space="preserve">2. </w:t>
            </w:r>
            <w:r>
              <w:rPr>
                <w:rFonts w:ascii="Arial" w:cs="Arial" w:eastAsia="Arial" w:hAnsi="Arial"/>
                <w:b/>
                <w:bCs/>
                <w:color w:val="1B2A4A"/>
                <w:sz w:val="20"/>
                <w:szCs w:val="20"/>
              </w:rPr>
              <w:t xml:space="preserve">Mandatory Graph Query</w:t>
            </w:r>
          </w:p>
          <w:p>
            <w:pPr>
              <w:spacing w:after="0"/>
            </w:pPr>
            <w:r>
              <w:rPr>
                <w:rFonts w:ascii="Arial" w:cs="Arial" w:eastAsia="Arial" w:hAnsi="Arial"/>
                <w:color w:val="475569"/>
                <w:sz w:val="17"/>
                <w:szCs w:val="17"/>
              </w:rPr>
              <w:t xml:space="preserve">Must call ≥ 1 tool BEFORE answering</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7C3AED"/>
                <w:sz w:val="16"/>
                <w:szCs w:val="16"/>
              </w:rPr>
              <w:t xml:space="preserve">▼</w:t>
            </w:r>
          </w:p>
        </w:tc>
      </w:tr>
      <w:tr>
        <w:tc>
          <w:tcPr>
            <w:tcW w:type="dxa" w:w="9360"/>
            <w:tcBorders>
              <w:top w:val="none" w:sz="0"/>
              <w:left w:val="single" w:color="7C3AED" w:sz="6"/>
              <w:bottom w:val="none" w:sz="0"/>
              <w:right w:val="none" w:sz="0"/>
            </w:tcBorders>
            <w:shd w:fill="EDE9FE" w:val="clear"/>
            <w:tcMar>
              <w:top w:type="dxa" w:w="100"/>
              <w:left w:type="dxa" w:w="140"/>
              <w:bottom w:type="dxa" w:w="100"/>
              <w:right w:type="dxa" w:w="140"/>
            </w:tcMar>
          </w:tcPr>
          <w:p>
            <w:pPr>
              <w:spacing w:after="20"/>
            </w:pPr>
            <w:r>
              <w:rPr>
                <w:rFonts w:ascii="Arial" w:cs="Arial" w:eastAsia="Arial" w:hAnsi="Arial"/>
                <w:b/>
                <w:bCs/>
                <w:color w:val="7C3AED"/>
                <w:sz w:val="20"/>
                <w:szCs w:val="20"/>
              </w:rPr>
              <w:t xml:space="preserve">3. </w:t>
            </w:r>
            <w:r>
              <w:rPr>
                <w:rFonts w:ascii="Arial" w:cs="Arial" w:eastAsia="Arial" w:hAnsi="Arial"/>
                <w:b/>
                <w:bCs/>
                <w:color w:val="1B2A4A"/>
                <w:sz w:val="20"/>
                <w:szCs w:val="20"/>
              </w:rPr>
              <w:t xml:space="preserve">Entity Existence Check</w:t>
            </w:r>
          </w:p>
          <w:p>
            <w:pPr>
              <w:spacing w:after="0"/>
            </w:pPr>
            <w:r>
              <w:rPr>
                <w:rFonts w:ascii="Arial" w:cs="Arial" w:eastAsia="Arial" w:hAnsi="Arial"/>
                <w:color w:val="475569"/>
                <w:sz w:val="17"/>
                <w:szCs w:val="17"/>
              </w:rPr>
              <w:t xml:space="preserve">Verify every entity name exists in graph</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7C3AED"/>
                <w:sz w:val="16"/>
                <w:szCs w:val="16"/>
              </w:rPr>
              <w:t xml:space="preserve">▼</w:t>
            </w:r>
          </w:p>
        </w:tc>
      </w:tr>
      <w:tr>
        <w:tc>
          <w:tcPr>
            <w:tcW w:type="dxa" w:w="9360"/>
            <w:tcBorders>
              <w:top w:val="none" w:sz="0"/>
              <w:left w:val="single" w:color="7C3AED" w:sz="6"/>
              <w:bottom w:val="none" w:sz="0"/>
              <w:right w:val="none" w:sz="0"/>
            </w:tcBorders>
            <w:shd w:fill="EDE9FE" w:val="clear"/>
            <w:tcMar>
              <w:top w:type="dxa" w:w="100"/>
              <w:left w:type="dxa" w:w="140"/>
              <w:bottom w:type="dxa" w:w="100"/>
              <w:right w:type="dxa" w:w="140"/>
            </w:tcMar>
          </w:tcPr>
          <w:p>
            <w:pPr>
              <w:spacing w:after="20"/>
            </w:pPr>
            <w:r>
              <w:rPr>
                <w:rFonts w:ascii="Arial" w:cs="Arial" w:eastAsia="Arial" w:hAnsi="Arial"/>
                <w:b/>
                <w:bCs/>
                <w:color w:val="7C3AED"/>
                <w:sz w:val="20"/>
                <w:szCs w:val="20"/>
              </w:rPr>
              <w:t xml:space="preserve">4. </w:t>
            </w:r>
            <w:r>
              <w:rPr>
                <w:rFonts w:ascii="Arial" w:cs="Arial" w:eastAsia="Arial" w:hAnsi="Arial"/>
                <w:b/>
                <w:bCs/>
                <w:color w:val="1B2A4A"/>
                <w:sz w:val="20"/>
                <w:szCs w:val="20"/>
              </w:rPr>
              <w:t xml:space="preserve">Validate Results</w:t>
            </w:r>
          </w:p>
          <w:p>
            <w:pPr>
              <w:spacing w:after="0"/>
            </w:pPr>
            <w:r>
              <w:rPr>
                <w:rFonts w:ascii="Arial" w:cs="Arial" w:eastAsia="Arial" w:hAnsi="Arial"/>
                <w:color w:val="475569"/>
                <w:sz w:val="17"/>
                <w:szCs w:val="17"/>
              </w:rPr>
              <w:t xml:space="preserve">Empty results → "not found" (never fill from LLM)</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115E59"/>
                <w:sz w:val="16"/>
                <w:szCs w:val="16"/>
              </w:rPr>
              <w:t xml:space="preserve">▼</w:t>
            </w:r>
          </w:p>
        </w:tc>
      </w:tr>
      <w:tr>
        <w:tc>
          <w:tcPr>
            <w:tcW w:type="dxa" w:w="9360"/>
            <w:tcBorders>
              <w:top w:val="none" w:sz="0"/>
              <w:left w:val="single" w:color="115E59" w:sz="6"/>
              <w:bottom w:val="none" w:sz="0"/>
              <w:right w:val="none" w:sz="0"/>
            </w:tcBorders>
            <w:shd w:fill="CCFBF1" w:val="clear"/>
            <w:tcMar>
              <w:top w:type="dxa" w:w="100"/>
              <w:left w:type="dxa" w:w="140"/>
              <w:bottom w:type="dxa" w:w="100"/>
              <w:right w:type="dxa" w:w="140"/>
            </w:tcMar>
          </w:tcPr>
          <w:p>
            <w:pPr>
              <w:spacing w:after="20"/>
            </w:pPr>
            <w:r>
              <w:rPr>
                <w:rFonts w:ascii="Arial" w:cs="Arial" w:eastAsia="Arial" w:hAnsi="Arial"/>
                <w:b/>
                <w:bCs/>
                <w:color w:val="115E59"/>
                <w:sz w:val="20"/>
                <w:szCs w:val="20"/>
              </w:rPr>
              <w:t xml:space="preserve">5. </w:t>
            </w:r>
            <w:r>
              <w:rPr>
                <w:rFonts w:ascii="Arial" w:cs="Arial" w:eastAsia="Arial" w:hAnsi="Arial"/>
                <w:b/>
                <w:bCs/>
                <w:color w:val="1B2A4A"/>
                <w:sz w:val="20"/>
                <w:szCs w:val="20"/>
              </w:rPr>
              <w:t xml:space="preserve">Generate Grounded Response</w:t>
            </w:r>
          </w:p>
          <w:p>
            <w:pPr>
              <w:spacing w:after="0"/>
            </w:pPr>
            <w:r>
              <w:rPr>
                <w:rFonts w:ascii="Arial" w:cs="Arial" w:eastAsia="Arial" w:hAnsi="Arial"/>
                <w:color w:val="475569"/>
                <w:sz w:val="17"/>
                <w:szCs w:val="17"/>
              </w:rPr>
              <w:t xml:space="preserve">LLM sees ONLY graph data as context</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115E59"/>
                <w:sz w:val="16"/>
                <w:szCs w:val="16"/>
              </w:rPr>
              <w:t xml:space="preserve">▼</w:t>
            </w:r>
          </w:p>
        </w:tc>
      </w:tr>
      <w:tr>
        <w:tc>
          <w:tcPr>
            <w:tcW w:type="dxa" w:w="9360"/>
            <w:tcBorders>
              <w:top w:val="none" w:sz="0"/>
              <w:left w:val="single" w:color="115E59" w:sz="6"/>
              <w:bottom w:val="none" w:sz="0"/>
              <w:right w:val="none" w:sz="0"/>
            </w:tcBorders>
            <w:shd w:fill="CCFBF1" w:val="clear"/>
            <w:tcMar>
              <w:top w:type="dxa" w:w="100"/>
              <w:left w:type="dxa" w:w="140"/>
              <w:bottom w:type="dxa" w:w="100"/>
              <w:right w:type="dxa" w:w="140"/>
            </w:tcMar>
          </w:tcPr>
          <w:p>
            <w:pPr>
              <w:spacing w:after="20"/>
            </w:pPr>
            <w:r>
              <w:rPr>
                <w:rFonts w:ascii="Arial" w:cs="Arial" w:eastAsia="Arial" w:hAnsi="Arial"/>
                <w:b/>
                <w:bCs/>
                <w:color w:val="115E59"/>
                <w:sz w:val="20"/>
                <w:szCs w:val="20"/>
              </w:rPr>
              <w:t xml:space="preserve">6. </w:t>
            </w:r>
            <w:r>
              <w:rPr>
                <w:rFonts w:ascii="Arial" w:cs="Arial" w:eastAsia="Arial" w:hAnsi="Arial"/>
                <w:b/>
                <w:bCs/>
                <w:color w:val="1B2A4A"/>
                <w:sz w:val="20"/>
                <w:szCs w:val="20"/>
              </w:rPr>
              <w:t xml:space="preserve">Attach Source Citations</w:t>
            </w:r>
          </w:p>
          <w:p>
            <w:pPr>
              <w:spacing w:after="0"/>
            </w:pPr>
            <w:r>
              <w:rPr>
                <w:rFonts w:ascii="Arial" w:cs="Arial" w:eastAsia="Arial" w:hAnsi="Arial"/>
                <w:color w:val="475569"/>
                <w:sz w:val="17"/>
                <w:szCs w:val="17"/>
              </w:rPr>
              <w:t xml:space="preserve">[entity:name] + [doc:file.docx:page]</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92400E"/>
                <w:sz w:val="16"/>
                <w:szCs w:val="16"/>
              </w:rPr>
              <w:t xml:space="preserve">▼</w:t>
            </w:r>
          </w:p>
        </w:tc>
      </w:tr>
      <w:tr>
        <w:tc>
          <w:tcPr>
            <w:tcW w:type="dxa" w:w="9360"/>
            <w:tcBorders>
              <w:top w:val="none" w:sz="0"/>
              <w:left w:val="single" w:color="92400E" w:sz="6"/>
              <w:bottom w:val="none" w:sz="0"/>
              <w:right w:val="none" w:sz="0"/>
            </w:tcBorders>
            <w:shd w:fill="FEF3C7" w:val="clear"/>
            <w:tcMar>
              <w:top w:type="dxa" w:w="100"/>
              <w:left w:type="dxa" w:w="140"/>
              <w:bottom w:type="dxa" w:w="100"/>
              <w:right w:type="dxa" w:w="140"/>
            </w:tcMar>
          </w:tcPr>
          <w:p>
            <w:pPr>
              <w:spacing w:after="20"/>
            </w:pPr>
            <w:r>
              <w:rPr>
                <w:rFonts w:ascii="Arial" w:cs="Arial" w:eastAsia="Arial" w:hAnsi="Arial"/>
                <w:b/>
                <w:bCs/>
                <w:color w:val="92400E"/>
                <w:sz w:val="20"/>
                <w:szCs w:val="20"/>
              </w:rPr>
              <w:t xml:space="preserve">7. </w:t>
            </w:r>
            <w:r>
              <w:rPr>
                <w:rFonts w:ascii="Arial" w:cs="Arial" w:eastAsia="Arial" w:hAnsi="Arial"/>
                <w:b/>
                <w:bCs/>
                <w:color w:val="1B2A4A"/>
                <w:sz w:val="20"/>
                <w:szCs w:val="20"/>
              </w:rPr>
              <w:t xml:space="preserve">Score Confidence (0.0—1.0)</w:t>
            </w:r>
          </w:p>
          <w:p>
            <w:pPr>
              <w:spacing w:after="0"/>
            </w:pPr>
            <w:r>
              <w:rPr>
                <w:rFonts w:ascii="Arial" w:cs="Arial" w:eastAsia="Arial" w:hAnsi="Arial"/>
                <w:color w:val="475569"/>
                <w:sz w:val="17"/>
                <w:szCs w:val="17"/>
              </w:rPr>
              <w:t xml:space="preserve">Below 0.5 → "Insufficient data to answer"</w:t>
            </w:r>
          </w:p>
        </w:tc>
      </w:tr>
      <w:tr>
        <w:trPr>
          <w:trHeight w:val="200" w:hRule="exact"/>
        </w:trPr>
        <w:tc>
          <w:tcPr>
            <w:tcW w:type="dxa" w:w="9360"/>
            <w:tcBorders>
              <w:top w:val="none" w:sz="0"/>
              <w:left w:val="none" w:sz="0"/>
              <w:bottom w:val="none" w:sz="0"/>
              <w:right w:val="none" w:sz="0"/>
            </w:tcBorders>
          </w:tcPr>
          <w:p>
            <w:pPr>
              <w:spacing w:after="0"/>
              <w:jc w:val="center"/>
            </w:pPr>
            <w:r>
              <w:rPr>
                <w:rFonts w:ascii="Arial" w:cs="Arial" w:eastAsia="Arial" w:hAnsi="Arial"/>
                <w:color w:val="059669"/>
                <w:sz w:val="16"/>
                <w:szCs w:val="16"/>
              </w:rPr>
              <w:t xml:space="preserve">▼</w:t>
            </w:r>
          </w:p>
        </w:tc>
      </w:tr>
      <w:tr>
        <w:tc>
          <w:tcPr>
            <w:tcW w:type="dxa" w:w="9360"/>
            <w:tcBorders>
              <w:top w:val="none" w:sz="0"/>
              <w:left w:val="none" w:sz="0"/>
              <w:bottom w:val="none" w:sz="0"/>
              <w:right w:val="none" w:sz="0"/>
            </w:tcBorders>
            <w:shd w:fill="059669"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  Grounded Answer with Citations</w:t>
            </w:r>
          </w:p>
          <w:p>
            <w:pPr>
              <w:spacing w:after="0"/>
              <w:jc w:val="center"/>
            </w:pPr>
            <w:r>
              <w:rPr>
                <w:rFonts w:ascii="Arial" w:cs="Arial" w:eastAsia="Arial" w:hAnsi="Arial"/>
                <w:color w:val="D1FAE5"/>
                <w:sz w:val="14"/>
                <w:szCs w:val="14"/>
              </w:rPr>
              <w:t xml:space="preserve">Confidence score + entity references + document sources</w:t>
            </w:r>
          </w:p>
        </w:tc>
      </w:tr>
    </w:tbl>
    <w:p>
      <w:pPr>
        <w:spacing w:after="240" w:before="80"/>
        <w:jc w:val="center"/>
      </w:pPr>
      <w:r>
        <w:rPr>
          <w:rFonts w:ascii="Arial" w:cs="Arial" w:eastAsia="Arial" w:hAnsi="Arial"/>
          <w:i/>
          <w:iCs/>
          <w:color w:val="475569"/>
          <w:sz w:val="18"/>
          <w:szCs w:val="18"/>
        </w:rPr>
        <w:t xml:space="preserve">Figure 2: Iris Anti-Hallucination Pipeline — 7 Safeguards</w:t>
      </w:r>
    </w:p>
    <w:p>
      <w:pPr>
        <w:spacing w:after="120"/>
      </w:pPr>
    </w:p>
    <w:p>
      <w:pPr>
        <w:pStyle w:val="Heading2"/>
      </w:pPr>
      <w:r>
        <w:t xml:space="preserve">Persona-Aware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Persona</w:t>
            </w:r>
          </w:p>
        </w:tc>
        <w:tc>
          <w:tcPr>
            <w:tcW w:type="dxa" w:w="2653"/>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Emphasizes</w:t>
            </w:r>
          </w:p>
        </w:tc>
        <w:tc>
          <w:tcPr>
            <w:tcW w:type="dxa" w:w="2653"/>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w:t>
            </w:r>
          </w:p>
        </w:tc>
        <w:tc>
          <w:tcPr>
            <w:tcW w:type="dxa" w:w="2654"/>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Proactive Alerts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Developer</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Dependencies, API contracts, repo links</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Technical, concise, deep links</w:t>
            </w:r>
          </w:p>
        </w:tc>
        <w:tc>
          <w:tcPr>
            <w:tcW w:type="dxa" w:w="2654"/>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Circular deps, stale images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Product Owner</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Business capabilities, domain coverage</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Business-friendly, impact-first</w:t>
            </w:r>
          </w:p>
        </w:tc>
        <w:tc>
          <w:tcPr>
            <w:tcW w:type="dxa" w:w="2654"/>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Unowned services, missing docs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SRE</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Blast radius, health, remediation</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Terse, lead with impact</w:t>
            </w:r>
          </w:p>
        </w:tc>
        <w:tc>
          <w:tcPr>
            <w:tcW w:type="dxa" w:w="2654"/>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SPOFs, unmonitored services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Auditor</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Compliance gaps, evidence, policies</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Formal, audit-ready</w:t>
            </w:r>
          </w:p>
        </w:tc>
        <w:tc>
          <w:tcPr>
            <w:tcW w:type="dxa" w:w="2654"/>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Non-compliant entities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Executive</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Portfolio health, risk, trends</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3-sentence summaries, no jargon</w:t>
            </w:r>
          </w:p>
        </w:tc>
        <w:tc>
          <w:tcPr>
            <w:tcW w:type="dxa" w:w="2654"/>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Critical risks only</w:t>
            </w:r>
          </w:p>
        </w:tc>
      </w:tr>
    </w:tbl>
    <w:p>
      <w:pPr>
        <w:spacing w:after="120"/>
      </w:pPr>
    </w:p>
    <w:p>
      <w:pPr>
        <w:pStyle w:val="Heading2"/>
      </w:pPr>
      <w:r>
        <w:t xml:space="preserve">Model-Agnostic LLM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IRIS — MODEL-AGNOSTIC LLM ROUTER</w:t>
            </w:r>
          </w:p>
        </w:tc>
      </w:tr>
      <w:tr>
        <w:tc>
          <w:tcPr>
            <w:tcW w:type="dxa" w:w="9360"/>
            <w:tcBorders>
              <w:top w:val="none" w:sz="0"/>
              <w:left w:val="none" w:sz="0"/>
              <w:bottom w:val="none" w:sz="0"/>
              <w:right w:val="none" w:sz="0"/>
            </w:tcBorders>
            <w:shd w:fill="F1F5F9" w:val="clear"/>
            <w:tcMar>
              <w:top w:type="dxa" w:w="60"/>
              <w:left w:type="dxa" w:w="100"/>
              <w:bottom w:type="dxa" w:w="60"/>
              <w:right w:type="dxa" w:w="100"/>
            </w:tcMar>
            <w:vAlign w:val="center"/>
          </w:tcPr>
          <w:p>
            <w:pPr>
              <w:spacing w:after="20"/>
              <w:jc w:val="center"/>
            </w:pPr>
            <w:r>
              <w:rPr>
                <w:rFonts w:ascii="Arial" w:cs="Arial" w:eastAsia="Arial" w:hAnsi="Arial"/>
                <w:b/>
                <w:bCs/>
                <w:color w:val="1B2A4A"/>
                <w:sz w:val="17"/>
                <w:szCs w:val="17"/>
              </w:rPr>
              <w:t xml:space="preserve">Tenant Configuration → Provider Selection → Fallback Chain → Response</w:t>
            </w:r>
          </w:p>
          <w:p>
            <w:pPr>
              <w:spacing w:after="0"/>
              <w:jc w:val="center"/>
            </w:pPr>
            <w:r>
              <w:rPr>
                <w:rFonts w:ascii="Arial" w:cs="Arial" w:eastAsia="Arial" w:hAnsi="Arial"/>
                <w:color w:val="475569"/>
                <w:sz w:val="14"/>
                <w:szCs w:val="14"/>
              </w:rPr>
              <w:t xml:space="preserve">Per-tenant: provider, model, API key, token budget, fallback order</w:t>
            </w:r>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w:t>
            </w:r>
          </w:p>
        </w:tc>
      </w:tr>
      <w:tr>
        <w:tc>
          <w:tcPr>
            <w:tcW w:type="dxa" w:w="9360"/>
            <w:tcBorders>
              <w:top w:val="none" w:sz="0"/>
              <w:left w:val="none" w:sz="0"/>
              <w:bottom w:val="none" w:sz="0"/>
              <w:right w:val="none" w:sz="0"/>
            </w:tcBorders>
            <w:tcMar>
              <w:top w:type="dxa" w:w="60"/>
              <w:left w:type="dxa" w:w="100"/>
              <w:bottom w:type="dxa" w:w="60"/>
              <w:right w:type="dxa" w:w="10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20"/>
              <w:gridCol w:w="2320"/>
              <w:gridCol w:w="2320"/>
              <w:gridCol w:w="2320"/>
            </w:tblGrid>
            <w:tr>
              <w:tc>
                <w:tcPr>
                  <w:tcW w:type="dxa" w:w="2320"/>
                  <w:gridSpan w:val="1"/>
                  <w:tcBorders>
                    <w:top w:val="none" w:sz="0"/>
                    <w:left w:val="none" w:sz="0"/>
                    <w:bottom w:val="none" w:sz="0"/>
                    <w:right w:val="none" w:sz="0"/>
                  </w:tcBorders>
                  <w:shd w:fill="10A37F"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OpenAI (GPT-4o)</w:t>
                  </w:r>
                </w:p>
              </w:tc>
              <w:tc>
                <w:tcPr>
                  <w:tcW w:type="dxa" w:w="2320"/>
                  <w:gridSpan w:val="1"/>
                  <w:tcBorders>
                    <w:top w:val="none" w:sz="0"/>
                    <w:left w:val="none" w:sz="0"/>
                    <w:bottom w:val="none" w:sz="0"/>
                    <w:right w:val="none" w:sz="0"/>
                  </w:tcBorders>
                  <w:shd w:fill="D4A574" w:val="clear"/>
                  <w:tcMar>
                    <w:top w:type="dxa" w:w="60"/>
                    <w:left w:type="dxa" w:w="100"/>
                    <w:bottom w:type="dxa" w:w="60"/>
                    <w:right w:type="dxa" w:w="100"/>
                  </w:tcMar>
                  <w:vAlign w:val="center"/>
                </w:tcPr>
                <w:p>
                  <w:pPr>
                    <w:spacing w:after="0"/>
                    <w:jc w:val="center"/>
                  </w:pPr>
                  <w:r>
                    <w:rPr>
                      <w:rFonts w:ascii="Arial" w:cs="Arial" w:eastAsia="Arial" w:hAnsi="Arial"/>
                      <w:b/>
                      <w:bCs/>
                      <w:color w:val="1B2A4A"/>
                      <w:sz w:val="14"/>
                      <w:szCs w:val="14"/>
                    </w:rPr>
                    <w:t xml:space="preserve">Anthropic (Claude)</w:t>
                  </w:r>
                </w:p>
              </w:tc>
              <w:tc>
                <w:tcPr>
                  <w:tcW w:type="dxa" w:w="2320"/>
                  <w:gridSpan w:val="1"/>
                  <w:tcBorders>
                    <w:top w:val="none" w:sz="0"/>
                    <w:left w:val="none" w:sz="0"/>
                    <w:bottom w:val="none" w:sz="0"/>
                    <w:right w:val="none" w:sz="0"/>
                  </w:tcBorders>
                  <w:shd w:fill="FF9900"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AWS Bedrock</w:t>
                  </w:r>
                </w:p>
              </w:tc>
              <w:tc>
                <w:tcPr>
                  <w:tcW w:type="dxa" w:w="2320"/>
                  <w:gridSpan w:val="1"/>
                  <w:tcBorders>
                    <w:top w:val="none" w:sz="0"/>
                    <w:left w:val="none" w:sz="0"/>
                    <w:bottom w:val="none" w:sz="0"/>
                    <w:right w:val="none" w:sz="0"/>
                  </w:tcBorders>
                  <w:shd w:fill="0078D4"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Azure OpenAI</w:t>
                  </w:r>
                </w:p>
              </w:tc>
            </w:tr>
            <w:tr>
              <w:trPr>
                <w:trHeight w:val="60" w:hRule="exact"/>
              </w:trPr>
              <w:tc>
                <w:tcPr>
                  <w:tcW w:type="dxa" w:w="2320"/>
                  <w:gridSpan w:val="1"/>
                  <w:tcBorders>
                    <w:top w:val="none" w:sz="0"/>
                    <w:left w:val="none" w:sz="0"/>
                    <w:bottom w:val="none" w:sz="0"/>
                    <w:right w:val="none" w:sz="0"/>
                  </w:tcBorders>
                  <w:shd w:fill="FFFFFF" w:val="clear"/>
                </w:tcPr>
                <w:p>
                  <w:pPr>
                    <w:spacing w:after="0"/>
                  </w:pPr>
                </w:p>
              </w:tc>
              <w:tc>
                <w:tcPr>
                  <w:tcW w:type="dxa" w:w="2320"/>
                  <w:gridSpan w:val="1"/>
                  <w:tcBorders>
                    <w:top w:val="none" w:sz="0"/>
                    <w:left w:val="none" w:sz="0"/>
                    <w:bottom w:val="none" w:sz="0"/>
                    <w:right w:val="none" w:sz="0"/>
                  </w:tcBorders>
                  <w:shd w:fill="FFFFFF" w:val="clear"/>
                </w:tcPr>
                <w:p>
                  <w:pPr>
                    <w:spacing w:after="0"/>
                  </w:pPr>
                </w:p>
              </w:tc>
              <w:tc>
                <w:tcPr>
                  <w:tcW w:type="dxa" w:w="2320"/>
                  <w:gridSpan w:val="1"/>
                  <w:tcBorders>
                    <w:top w:val="none" w:sz="0"/>
                    <w:left w:val="none" w:sz="0"/>
                    <w:bottom w:val="none" w:sz="0"/>
                    <w:right w:val="none" w:sz="0"/>
                  </w:tcBorders>
                  <w:shd w:fill="FFFFFF" w:val="clear"/>
                </w:tcPr>
                <w:p>
                  <w:pPr>
                    <w:spacing w:after="0"/>
                  </w:pPr>
                </w:p>
              </w:tc>
              <w:tc>
                <w:tcPr>
                  <w:tcW w:type="dxa" w:w="2320"/>
                  <w:gridSpan w:val="1"/>
                  <w:tcBorders>
                    <w:top w:val="none" w:sz="0"/>
                    <w:left w:val="none" w:sz="0"/>
                    <w:bottom w:val="none" w:sz="0"/>
                    <w:right w:val="none" w:sz="0"/>
                  </w:tcBorders>
                  <w:shd w:fill="FFFFFF" w:val="clear"/>
                </w:tcPr>
                <w:p>
                  <w:pPr>
                    <w:spacing w:after="0"/>
                  </w:pPr>
                </w:p>
              </w:tc>
            </w:tr>
            <w:tr>
              <w:tc>
                <w:tcPr>
                  <w:tcW w:type="dxa" w:w="2320"/>
                  <w:gridSpan w:val="1"/>
                  <w:tcBorders>
                    <w:top w:val="none" w:sz="0"/>
                    <w:left w:val="none" w:sz="0"/>
                    <w:bottom w:val="none" w:sz="0"/>
                    <w:right w:val="none" w:sz="0"/>
                  </w:tcBorders>
                  <w:shd w:fill="4285F4"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Google Vertex</w:t>
                  </w:r>
                </w:p>
              </w:tc>
              <w:tc>
                <w:tcPr>
                  <w:tcW w:type="dxa" w:w="2320"/>
                  <w:gridSpan w:val="1"/>
                  <w:tcBorders>
                    <w:top w:val="none" w:sz="0"/>
                    <w:left w:val="none" w:sz="0"/>
                    <w:bottom w:val="none" w:sz="0"/>
                    <w:right w:val="none" w:sz="0"/>
                  </w:tcBorders>
                  <w:shd w:fill="475569"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Ollama (Local)</w:t>
                  </w:r>
                </w:p>
              </w:tc>
              <w:tc>
                <w:tcPr>
                  <w:tcW w:type="dxa" w:w="2320"/>
                  <w:gridSpan w:val="1"/>
                  <w:tcBorders>
                    <w:top w:val="none" w:sz="0"/>
                    <w:left w:val="none" w:sz="0"/>
                    <w:bottom w:val="none" w:sz="0"/>
                    <w:right w:val="none" w:sz="0"/>
                  </w:tcBorders>
                  <w:shd w:fill="7C3AED"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Prism LLM (Custom)</w:t>
                  </w:r>
                </w:p>
              </w:tc>
              <w:tc>
                <w:tcPr>
                  <w:tcW w:type="dxa" w:w="232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Any OpenAI-compat.</w:t>
                  </w:r>
                </w:p>
              </w:tc>
            </w:tr>
          </w:tbl>
          <w:p/>
        </w:tc>
      </w:tr>
    </w:tbl>
    <w:p>
      <w:pPr>
        <w:spacing w:after="240" w:before="80"/>
        <w:jc w:val="center"/>
      </w:pPr>
      <w:r>
        <w:rPr>
          <w:rFonts w:ascii="Arial" w:cs="Arial" w:eastAsia="Arial" w:hAnsi="Arial"/>
          <w:i/>
          <w:iCs/>
          <w:color w:val="475569"/>
          <w:sz w:val="18"/>
          <w:szCs w:val="18"/>
        </w:rPr>
        <w:t xml:space="preserve">Figure 3: LLM Router — 8 Supported Providers with Per-Tenant Configuration</w:t>
      </w:r>
    </w:p>
    <w:p>
      <w:r>
        <w:br w:type="page"/>
      </w:r>
    </w:p>
    <w:p>
      <w:pPr>
        <w:pStyle w:val="Heading1"/>
      </w:pPr>
      <w: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PRISM — SYSTEM ARCHITECTURE</w:t>
            </w:r>
          </w:p>
        </w:tc>
      </w:tr>
      <w:tr>
        <w:tc>
          <w:tcPr>
            <w:tcW w:type="dxa" w:w="9360"/>
            <w:gridSpan w:val="1"/>
            <w:tcBorders>
              <w:top w:val="none" w:sz="0"/>
              <w:left w:val="none" w:sz="0"/>
              <w:bottom w:val="none" w:sz="0"/>
              <w:right w:val="none" w:sz="0"/>
            </w:tcBorders>
            <w:shd w:fill="1E40AF" w:val="clear"/>
            <w:tcMar>
              <w:top w:type="dxa" w:w="60"/>
              <w:left w:type="dxa" w:w="100"/>
              <w:bottom w:type="dxa" w:w="60"/>
              <w:right w:type="dxa" w:w="100"/>
            </w:tcMar>
            <w:vAlign w:val="center"/>
          </w:tcPr>
          <w:p>
            <w:pPr>
              <w:spacing w:after="0"/>
              <w:jc w:val="center"/>
            </w:pPr>
            <w:r>
              <w:rPr>
                <w:rFonts w:ascii="Arial" w:cs="Arial" w:eastAsia="Arial" w:hAnsi="Arial"/>
                <w:b/>
                <w:bCs/>
                <w:color w:val="FFFFFF"/>
                <w:sz w:val="16"/>
                <w:szCs w:val="16"/>
              </w:rPr>
              <w:t xml:space="preserve">PRESENTATION LAYER</w:t>
            </w:r>
          </w:p>
        </w:tc>
      </w:tr>
      <w:tr>
        <w:tc>
          <w:tcPr>
            <w:tcW w:type="dxa" w:w="9360"/>
            <w:tcBorders>
              <w:top w:val="none" w:sz="0"/>
              <w:left w:val="none" w:sz="0"/>
              <w:bottom w:val="none" w:sz="0"/>
              <w:right w:val="none" w:sz="0"/>
            </w:tcBorders>
            <w:shd w:fill="DBEAFE" w:val="clear"/>
            <w:tcMar>
              <w:top w:type="dxa" w:w="60"/>
              <w:left w:type="dxa" w:w="100"/>
              <w:bottom w:type="dxa" w:w="60"/>
              <w:right w:type="dxa" w:w="10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gridSpan w:val="1"/>
                  <w:tcBorders>
                    <w:top w:val="none" w:sz="0"/>
                    <w:left w:val="none" w:sz="0"/>
                    <w:bottom w:val="none" w:sz="0"/>
                    <w:right w:val="none" w:sz="0"/>
                  </w:tcBorders>
                  <w:shd w:fill="2563EB"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Sidebar (13 modules)</w:t>
                  </w:r>
                </w:p>
              </w:tc>
              <w:tc>
                <w:tcPr>
                  <w:tcW w:type="dxa" w:w="2290"/>
                  <w:gridSpan w:val="1"/>
                  <w:tcBorders>
                    <w:top w:val="none" w:sz="0"/>
                    <w:left w:val="none" w:sz="0"/>
                    <w:bottom w:val="none" w:sz="0"/>
                    <w:right w:val="none" w:sz="0"/>
                  </w:tcBorders>
                  <w:shd w:fill="2563EB"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Topology Graph (D3.js)</w:t>
                  </w:r>
                </w:p>
              </w:tc>
              <w:tc>
                <w:tcPr>
                  <w:tcW w:type="dxa" w:w="2290"/>
                  <w:gridSpan w:val="1"/>
                  <w:tcBorders>
                    <w:top w:val="none" w:sz="0"/>
                    <w:left w:val="none" w:sz="0"/>
                    <w:bottom w:val="none" w:sz="0"/>
                    <w:right w:val="none" w:sz="0"/>
                  </w:tcBorders>
                  <w:shd w:fill="2563EB"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Application Lens</w:t>
                  </w:r>
                </w:p>
              </w:tc>
              <w:tc>
                <w:tcPr>
                  <w:tcW w:type="dxa" w:w="2290"/>
                  <w:gridSpan w:val="1"/>
                  <w:tcBorders>
                    <w:top w:val="none" w:sz="0"/>
                    <w:left w:val="none" w:sz="0"/>
                    <w:bottom w:val="none" w:sz="0"/>
                    <w:right w:val="none" w:sz="0"/>
                  </w:tcBorders>
                  <w:shd w:fill="2563EB"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Iris Chat Panel</w:t>
                  </w:r>
                </w:p>
              </w:tc>
            </w:tr>
          </w:tbl>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  REST + WebSocket  ▼</w:t>
            </w:r>
          </w:p>
        </w:tc>
      </w:tr>
      <w:tr>
        <w:tc>
          <w:tcPr>
            <w:tcW w:type="dxa" w:w="936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6"/>
                <w:szCs w:val="16"/>
              </w:rPr>
              <w:t xml:space="preserve">INTELLIGENCE LAYER</w:t>
            </w:r>
          </w:p>
        </w:tc>
      </w:tr>
      <w:tr>
        <w:tc>
          <w:tcPr>
            <w:tcW w:type="dxa" w:w="9360"/>
            <w:tcBorders>
              <w:top w:val="none" w:sz="0"/>
              <w:left w:val="none" w:sz="0"/>
              <w:bottom w:val="none" w:sz="0"/>
              <w:right w:val="none" w:sz="0"/>
            </w:tcBorders>
            <w:shd w:fill="CCFBF1" w:val="clear"/>
            <w:tcMar>
              <w:top w:type="dxa" w:w="60"/>
              <w:left w:type="dxa" w:w="100"/>
              <w:bottom w:type="dxa" w:w="60"/>
              <w:right w:type="dxa" w:w="10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90"/>
              <w:gridCol w:w="2290"/>
              <w:gridCol w:w="2290"/>
              <w:gridCol w:w="2290"/>
            </w:tblGrid>
            <w:tr>
              <w:tc>
                <w:tcPr>
                  <w:tcW w:type="dxa" w:w="2290"/>
                  <w:gridSpan w:val="1"/>
                  <w:tcBorders>
                    <w:top w:val="none" w:sz="0"/>
                    <w:left w:val="none" w:sz="0"/>
                    <w:bottom w:val="none" w:sz="0"/>
                    <w:right w:val="none" w:sz="0"/>
                  </w:tcBorders>
                  <w:shd w:fill="0D9488"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Iris Agent (LangGraph)</w:t>
                  </w:r>
                </w:p>
              </w:tc>
              <w:tc>
                <w:tcPr>
                  <w:tcW w:type="dxa" w:w="2290"/>
                  <w:gridSpan w:val="1"/>
                  <w:tcBorders>
                    <w:top w:val="none" w:sz="0"/>
                    <w:left w:val="none" w:sz="0"/>
                    <w:bottom w:val="none" w:sz="0"/>
                    <w:right w:val="none" w:sz="0"/>
                  </w:tcBorders>
                  <w:shd w:fill="0D9488"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Compliance Engine</w:t>
                  </w:r>
                </w:p>
              </w:tc>
              <w:tc>
                <w:tcPr>
                  <w:tcW w:type="dxa" w:w="2290"/>
                  <w:gridSpan w:val="1"/>
                  <w:tcBorders>
                    <w:top w:val="none" w:sz="0"/>
                    <w:left w:val="none" w:sz="0"/>
                    <w:bottom w:val="none" w:sz="0"/>
                    <w:right w:val="none" w:sz="0"/>
                  </w:tcBorders>
                  <w:shd w:fill="0D9488"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Health Scoring</w:t>
                  </w:r>
                </w:p>
              </w:tc>
              <w:tc>
                <w:tcPr>
                  <w:tcW w:type="dxa" w:w="2290"/>
                  <w:gridSpan w:val="1"/>
                  <w:tcBorders>
                    <w:top w:val="none" w:sz="0"/>
                    <w:left w:val="none" w:sz="0"/>
                    <w:bottom w:val="none" w:sz="0"/>
                    <w:right w:val="none" w:sz="0"/>
                  </w:tcBorders>
                  <w:shd w:fill="0D9488"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Blast Radius (BFS)</w:t>
                  </w:r>
                </w:p>
              </w:tc>
            </w:tr>
            <w:tr>
              <w:trPr>
                <w:trHeight w:val="60" w:hRule="exact"/>
              </w:trPr>
              <w:tc>
                <w:tcPr>
                  <w:tcW w:type="dxa" w:w="2290"/>
                  <w:gridSpan w:val="1"/>
                  <w:tcBorders>
                    <w:top w:val="none" w:sz="0"/>
                    <w:left w:val="none" w:sz="0"/>
                    <w:bottom w:val="none" w:sz="0"/>
                    <w:right w:val="none" w:sz="0"/>
                  </w:tcBorders>
                  <w:shd w:fill="FFFFFF" w:val="clear"/>
                </w:tcPr>
                <w:p>
                  <w:pPr>
                    <w:spacing w:after="0"/>
                  </w:pPr>
                </w:p>
              </w:tc>
              <w:tc>
                <w:tcPr>
                  <w:tcW w:type="dxa" w:w="2290"/>
                  <w:gridSpan w:val="1"/>
                  <w:tcBorders>
                    <w:top w:val="none" w:sz="0"/>
                    <w:left w:val="none" w:sz="0"/>
                    <w:bottom w:val="none" w:sz="0"/>
                    <w:right w:val="none" w:sz="0"/>
                  </w:tcBorders>
                  <w:shd w:fill="FFFFFF" w:val="clear"/>
                </w:tcPr>
                <w:p>
                  <w:pPr>
                    <w:spacing w:after="0"/>
                  </w:pPr>
                </w:p>
              </w:tc>
              <w:tc>
                <w:tcPr>
                  <w:tcW w:type="dxa" w:w="2290"/>
                  <w:gridSpan w:val="1"/>
                  <w:tcBorders>
                    <w:top w:val="none" w:sz="0"/>
                    <w:left w:val="none" w:sz="0"/>
                    <w:bottom w:val="none" w:sz="0"/>
                    <w:right w:val="none" w:sz="0"/>
                  </w:tcBorders>
                  <w:shd w:fill="FFFFFF" w:val="clear"/>
                </w:tcPr>
                <w:p>
                  <w:pPr>
                    <w:spacing w:after="0"/>
                  </w:pPr>
                </w:p>
              </w:tc>
              <w:tc>
                <w:tcPr>
                  <w:tcW w:type="dxa" w:w="2290"/>
                  <w:gridSpan w:val="1"/>
                  <w:tcBorders>
                    <w:top w:val="none" w:sz="0"/>
                    <w:left w:val="none" w:sz="0"/>
                    <w:bottom w:val="none" w:sz="0"/>
                    <w:right w:val="none" w:sz="0"/>
                  </w:tcBorders>
                  <w:shd w:fill="FFFFFF" w:val="clear"/>
                </w:tcPr>
                <w:p>
                  <w:pPr>
                    <w:spacing w:after="0"/>
                  </w:pPr>
                </w:p>
              </w:tc>
            </w:tr>
            <w:tr>
              <w:tc>
                <w:tcPr>
                  <w:tcW w:type="dxa" w:w="229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LLM Router</w:t>
                  </w:r>
                </w:p>
              </w:tc>
              <w:tc>
                <w:tcPr>
                  <w:tcW w:type="dxa" w:w="229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Doc Intelligence</w:t>
                  </w:r>
                </w:p>
              </w:tc>
              <w:tc>
                <w:tcPr>
                  <w:tcW w:type="dxa" w:w="229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CPT Engine</w:t>
                  </w:r>
                </w:p>
              </w:tc>
              <w:tc>
                <w:tcPr>
                  <w:tcW w:type="dxa" w:w="229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4"/>
                      <w:szCs w:val="14"/>
                    </w:rPr>
                    <w:t xml:space="preserve">Auth + RBAC + MW</w:t>
                  </w:r>
                </w:p>
              </w:tc>
            </w:tr>
          </w:tbl>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  Parameterized Cypher  ▼</w:t>
            </w:r>
          </w:p>
        </w:tc>
      </w:tr>
      <w:tr>
        <w:tc>
          <w:tcPr>
            <w:tcW w:type="dxa" w:w="9360"/>
            <w:gridSpan w:val="1"/>
            <w:tcBorders>
              <w:top w:val="none" w:sz="0"/>
              <w:left w:val="none" w:sz="0"/>
              <w:bottom w:val="none" w:sz="0"/>
              <w:right w:val="none" w:sz="0"/>
            </w:tcBorders>
            <w:shd w:fill="7C3AED" w:val="clear"/>
            <w:tcMar>
              <w:top w:type="dxa" w:w="60"/>
              <w:left w:type="dxa" w:w="100"/>
              <w:bottom w:type="dxa" w:w="60"/>
              <w:right w:type="dxa" w:w="100"/>
            </w:tcMar>
            <w:vAlign w:val="center"/>
          </w:tcPr>
          <w:p>
            <w:pPr>
              <w:spacing w:after="0"/>
              <w:jc w:val="center"/>
            </w:pPr>
            <w:r>
              <w:rPr>
                <w:rFonts w:ascii="Arial" w:cs="Arial" w:eastAsia="Arial" w:hAnsi="Arial"/>
                <w:b/>
                <w:bCs/>
                <w:color w:val="FFFFFF"/>
                <w:sz w:val="16"/>
                <w:szCs w:val="16"/>
              </w:rPr>
              <w:t xml:space="preserve">DATA LAYER</w:t>
            </w:r>
          </w:p>
        </w:tc>
      </w:tr>
      <w:tr>
        <w:tc>
          <w:tcPr>
            <w:tcW w:type="dxa" w:w="9360"/>
            <w:tcBorders>
              <w:top w:val="none" w:sz="0"/>
              <w:left w:val="none" w:sz="0"/>
              <w:bottom w:val="none" w:sz="0"/>
              <w:right w:val="none" w:sz="0"/>
            </w:tcBorders>
            <w:shd w:fill="EDE9FE" w:val="clear"/>
            <w:tcMar>
              <w:top w:type="dxa" w:w="60"/>
              <w:left w:type="dxa" w:w="100"/>
              <w:bottom w:type="dxa" w:w="60"/>
              <w:right w:type="dxa" w:w="10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53"/>
              <w:gridCol w:w="3053"/>
              <w:gridCol w:w="3053"/>
            </w:tblGrid>
            <w:tr>
              <w:tc>
                <w:tcPr>
                  <w:tcW w:type="dxa" w:w="3053"/>
                  <w:tcBorders>
                    <w:top w:val="none" w:sz="0"/>
                    <w:left w:val="none" w:sz="0"/>
                    <w:bottom w:val="none" w:sz="0"/>
                    <w:right w:val="none" w:sz="0"/>
                  </w:tcBorders>
                  <w:shd w:fill="7C3AED"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Neo4j 5.x</w:t>
                  </w:r>
                </w:p>
                <w:p>
                  <w:pPr>
                    <w:spacing w:after="0"/>
                    <w:jc w:val="center"/>
                  </w:pPr>
                  <w:r>
                    <w:rPr>
                      <w:rFonts w:ascii="Arial" w:cs="Arial" w:eastAsia="Arial" w:hAnsi="Arial"/>
                      <w:color w:val="EDE9FE"/>
                      <w:sz w:val="14"/>
                      <w:szCs w:val="14"/>
                    </w:rPr>
                    <w:t xml:space="preserve">Knowledge Graph + Vector Index + APOC + GDS  |  DB-per-tenant</w:t>
                  </w:r>
                </w:p>
              </w:tc>
              <w:tc>
                <w:tcPr>
                  <w:tcW w:type="dxa" w:w="3053"/>
                  <w:tcBorders>
                    <w:top w:val="none" w:sz="0"/>
                    <w:left w:val="none" w:sz="0"/>
                    <w:bottom w:val="none" w:sz="0"/>
                    <w:right w:val="none" w:sz="0"/>
                  </w:tcBorders>
                  <w:shd w:fill="6D28D9"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Redis 7</w:t>
                  </w:r>
                </w:p>
                <w:p>
                  <w:pPr>
                    <w:spacing w:after="0"/>
                    <w:jc w:val="center"/>
                  </w:pPr>
                  <w:r>
                    <w:rPr>
                      <w:rFonts w:ascii="Arial" w:cs="Arial" w:eastAsia="Arial" w:hAnsi="Arial"/>
                      <w:color w:val="EDE9FE"/>
                      <w:sz w:val="14"/>
                      <w:szCs w:val="14"/>
                    </w:rPr>
                    <w:t xml:space="preserve">Cache + Sessions + Rate Limiting + Celery Queue</w:t>
                  </w:r>
                </w:p>
              </w:tc>
              <w:tc>
                <w:tcPr>
                  <w:tcW w:type="dxa" w:w="3053"/>
                  <w:tcBorders>
                    <w:top w:val="none" w:sz="0"/>
                    <w:left w:val="none" w:sz="0"/>
                    <w:bottom w:val="none" w:sz="0"/>
                    <w:right w:val="none" w:sz="0"/>
                  </w:tcBorders>
                  <w:shd w:fill="5B21B6" w:val="clear"/>
                  <w:tcMar>
                    <w:top w:type="dxa" w:w="60"/>
                    <w:left w:type="dxa" w:w="100"/>
                    <w:bottom w:type="dxa" w:w="60"/>
                    <w:right w:type="dxa" w:w="100"/>
                  </w:tcMar>
                  <w:vAlign w:val="center"/>
                </w:tcPr>
                <w:p>
                  <w:pPr>
                    <w:spacing w:after="20"/>
                    <w:jc w:val="center"/>
                  </w:pPr>
                  <w:r>
                    <w:rPr>
                      <w:rFonts w:ascii="Arial" w:cs="Arial" w:eastAsia="Arial" w:hAnsi="Arial"/>
                      <w:b/>
                      <w:bCs/>
                      <w:color w:val="FFFFFF"/>
                      <w:sz w:val="17"/>
                      <w:szCs w:val="17"/>
                    </w:rPr>
                    <w:t xml:space="preserve">Object Storage</w:t>
                  </w:r>
                </w:p>
                <w:p>
                  <w:pPr>
                    <w:spacing w:after="0"/>
                    <w:jc w:val="center"/>
                  </w:pPr>
                  <w:r>
                    <w:rPr>
                      <w:rFonts w:ascii="Arial" w:cs="Arial" w:eastAsia="Arial" w:hAnsi="Arial"/>
                      <w:color w:val="EDE9FE"/>
                      <w:sz w:val="14"/>
                      <w:szCs w:val="14"/>
                    </w:rPr>
                    <w:t xml:space="preserve">S3/MinIO  |  Documents + Reports + Audit Logs</w:t>
                  </w:r>
                </w:p>
              </w:tc>
            </w:tr>
          </w:tbl>
          <w:p/>
        </w:tc>
      </w:tr>
      <w:tr>
        <w:trPr>
          <w:trHeight w:val="340" w:hRule="exact"/>
        </w:trPr>
        <w:tc>
          <w:tcPr>
            <w:tcW w:type="dxa" w:w="9360"/>
            <w:tcBorders>
              <w:top w:val="none" w:sz="0"/>
              <w:left w:val="none" w:sz="0"/>
              <w:bottom w:val="none" w:sz="0"/>
              <w:right w:val="none" w:sz="0"/>
            </w:tcBorders>
            <w:shd w:fill="FFFFFF" w:val="clear"/>
            <w:tcMar>
              <w:top w:type="dxa" w:w="60"/>
              <w:left w:type="dxa" w:w="100"/>
              <w:bottom w:type="dxa" w:w="60"/>
              <w:right w:type="dxa" w:w="100"/>
            </w:tcMar>
            <w:vAlign w:val="center"/>
          </w:tcPr>
          <w:p>
            <w:pPr>
              <w:spacing w:after="0"/>
              <w:jc w:val="center"/>
            </w:pPr>
            <w:r>
              <w:rPr>
                <w:rFonts w:ascii="Arial" w:cs="Arial" w:eastAsia="Arial" w:hAnsi="Arial"/>
                <w:b/>
                <w:bCs/>
                <w:color w:val="94A3B8"/>
                <w:sz w:val="18"/>
                <w:szCs w:val="18"/>
              </w:rPr>
              <w:t xml:space="preserve">▼  Adapter Pattern  ▼</w:t>
            </w:r>
          </w:p>
        </w:tc>
      </w:tr>
      <w:tr>
        <w:tc>
          <w:tcPr>
            <w:tcW w:type="dxa" w:w="9360"/>
            <w:gridSpan w:val="1"/>
            <w:tcBorders>
              <w:top w:val="none" w:sz="0"/>
              <w:left w:val="none" w:sz="0"/>
              <w:bottom w:val="none" w:sz="0"/>
              <w:right w:val="none" w:sz="0"/>
            </w:tcBorders>
            <w:shd w:fill="92400E" w:val="clear"/>
            <w:tcMar>
              <w:top w:type="dxa" w:w="60"/>
              <w:left w:type="dxa" w:w="100"/>
              <w:bottom w:type="dxa" w:w="60"/>
              <w:right w:type="dxa" w:w="100"/>
            </w:tcMar>
            <w:vAlign w:val="center"/>
          </w:tcPr>
          <w:p>
            <w:pPr>
              <w:spacing w:after="0"/>
              <w:jc w:val="center"/>
            </w:pPr>
            <w:r>
              <w:rPr>
                <w:rFonts w:ascii="Arial" w:cs="Arial" w:eastAsia="Arial" w:hAnsi="Arial"/>
                <w:b/>
                <w:bCs/>
                <w:color w:val="FFFFFF"/>
                <w:sz w:val="16"/>
                <w:szCs w:val="16"/>
              </w:rPr>
              <w:t xml:space="preserve">CONNECTOR LAYER</w:t>
            </w:r>
          </w:p>
        </w:tc>
      </w:tr>
      <w:tr>
        <w:tc>
          <w:tcPr>
            <w:tcW w:type="dxa" w:w="9360"/>
            <w:tcBorders>
              <w:top w:val="none" w:sz="0"/>
              <w:left w:val="none" w:sz="0"/>
              <w:bottom w:val="none" w:sz="0"/>
              <w:right w:val="none" w:sz="0"/>
            </w:tcBorders>
            <w:shd w:fill="FEF3C7" w:val="clear"/>
            <w:tcMar>
              <w:top w:type="dxa" w:w="60"/>
              <w:left w:type="dxa" w:w="100"/>
              <w:bottom w:type="dxa" w:w="60"/>
              <w:right w:type="dxa" w:w="100"/>
            </w:tcMar>
          </w:tcPr>
          <w:p>
            <w:pPr>
              <w:spacing w:after="40"/>
              <w:jc w:val="center"/>
            </w:pPr>
            <w:r>
              <w:rPr>
                <w:rFonts w:ascii="Arial" w:cs="Arial" w:eastAsia="Arial" w:hAnsi="Arial"/>
                <w:b/>
                <w:bCs/>
                <w:color w:val="92400E"/>
                <w:sz w:val="15"/>
                <w:szCs w:val="15"/>
              </w:rPr>
              <w:t xml:space="preserve">K8s  │  GitHub  │  API Connect  │  Datadog  │  ArgoCD  │  Kafka  │  AWS  │  ServiceNow  │  Jira  │  Vault  │  SonarQube  │  Terraform  │  Nexus</w:t>
            </w:r>
          </w:p>
          <w:p>
            <w:pPr>
              <w:spacing w:after="0"/>
              <w:jc w:val="center"/>
            </w:pPr>
            <w:r>
              <w:rPr>
                <w:rFonts w:ascii="Arial" w:cs="Arial" w:eastAsia="Arial" w:hAnsi="Arial"/>
                <w:color w:val="475569"/>
                <w:sz w:val="14"/>
                <w:szCs w:val="14"/>
              </w:rPr>
              <w:t xml:space="preserve">Each connector: produce_perspective() → Perspective → CPT Engine</w:t>
            </w:r>
          </w:p>
        </w:tc>
      </w:tr>
    </w:tbl>
    <w:p>
      <w:pPr>
        <w:spacing w:after="240" w:before="80"/>
        <w:jc w:val="center"/>
      </w:pPr>
      <w:r>
        <w:rPr>
          <w:rFonts w:ascii="Arial" w:cs="Arial" w:eastAsia="Arial" w:hAnsi="Arial"/>
          <w:i/>
          <w:iCs/>
          <w:color w:val="475569"/>
          <w:sz w:val="18"/>
          <w:szCs w:val="18"/>
        </w:rPr>
        <w:t xml:space="preserve">Figure 4: Four-Layer System Architecture</w:t>
      </w:r>
    </w:p>
    <w:p>
      <w:pPr>
        <w:spacing w:after="120"/>
      </w:pPr>
    </w:p>
    <w:p>
      <w:pPr>
        <w:pStyle w:val="Heading2"/>
      </w:pPr>
      <w:r>
        <w:t xml:space="preserve">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DEPLOYMENT MODELS</w:t>
            </w:r>
          </w:p>
        </w:tc>
      </w:tr>
      <w:tr>
        <w:tc>
          <w:tcPr>
            <w:tcW w:type="dxa" w:w="9360"/>
            <w:tcBorders>
              <w:top w:val="none" w:sz="0"/>
              <w:left w:val="none" w:sz="0"/>
              <w:bottom w:val="none" w:sz="0"/>
              <w:right w:val="none" w:sz="0"/>
            </w:tcBorders>
            <w:tcMar>
              <w:top w:type="dxa" w:w="60"/>
              <w:left w:type="dxa" w:w="100"/>
              <w:bottom w:type="dxa" w:w="60"/>
              <w:right w:type="dxa" w:w="10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gridSpan w:val="1"/>
                  <w:tcBorders>
                    <w:top w:val="none" w:sz="0"/>
                    <w:left w:val="none" w:sz="0"/>
                    <w:bottom w:val="none" w:sz="0"/>
                    <w:right w:val="none" w:sz="0"/>
                  </w:tcBorders>
                  <w:shd w:fill="2563EB"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SELF-HOSTED</w:t>
                  </w: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SAAS (Multi-Tenant)</w:t>
                  </w:r>
                </w:p>
              </w:tc>
            </w:tr>
            <w:tr>
              <w:tc>
                <w:tcPr>
                  <w:tcW w:type="dxa" w:w="4640"/>
                  <w:tcBorders>
                    <w:top w:val="none" w:sz="0"/>
                    <w:left w:val="none" w:sz="0"/>
                    <w:bottom w:val="none" w:sz="0"/>
                    <w:right w:val="none" w:sz="0"/>
                  </w:tcBorders>
                  <w:shd w:fill="DBEAFE" w:val="clear"/>
                  <w:tcMar>
                    <w:top w:type="dxa" w:w="60"/>
                    <w:left w:type="dxa" w:w="100"/>
                    <w:bottom w:type="dxa" w:w="60"/>
                    <w:right w:type="dxa" w:w="100"/>
                  </w:tcMar>
                  <w:vAlign w:val="center"/>
                </w:tcPr>
                <w:p>
                  <w:pPr>
                    <w:spacing w:after="20"/>
                    <w:jc w:val="center"/>
                  </w:pPr>
                  <w:r>
                    <w:rPr>
                      <w:rFonts w:ascii="Arial" w:cs="Arial" w:eastAsia="Arial" w:hAnsi="Arial"/>
                      <w:b/>
                      <w:bCs/>
                      <w:color w:val="1B2A4A"/>
                      <w:sz w:val="17"/>
                      <w:szCs w:val="17"/>
                    </w:rPr>
                    <w:t xml:space="preserve">Customer's AWS / Azure / On-Prem</w:t>
                  </w:r>
                </w:p>
                <w:p>
                  <w:pPr>
                    <w:spacing w:after="0"/>
                    <w:jc w:val="center"/>
                  </w:pPr>
                  <w:r>
                    <w:rPr>
                      <w:rFonts w:ascii="Arial" w:cs="Arial" w:eastAsia="Arial" w:hAnsi="Arial"/>
                      <w:color w:val="475569"/>
                      <w:sz w:val="14"/>
                      <w:szCs w:val="14"/>
                    </w:rPr>
                    <w:t xml:space="preserve">Data NEVER leaves their network</w:t>
                  </w:r>
                </w:p>
              </w:tc>
              <w:tc>
                <w:tcPr>
                  <w:tcW w:type="dxa" w:w="80"/>
                  <w:gridSpan w:val="1"/>
                  <w:tcBorders>
                    <w:top w:val="none" w:sz="0"/>
                    <w:left w:val="none" w:sz="0"/>
                    <w:bottom w:val="none" w:sz="0"/>
                    <w:right w:val="none" w:sz="0"/>
                  </w:tcBorders>
                  <w:shd w:fill="FFFFFF" w:val="clear"/>
                </w:tcPr>
                <w:p>
                  <w:pPr>
                    <w:spacing w:after="0"/>
                  </w:pPr>
                </w:p>
              </w:tc>
              <w:tc>
                <w:tcPr>
                  <w:tcW w:type="dxa" w:w="4640"/>
                  <w:tcBorders>
                    <w:top w:val="none" w:sz="0"/>
                    <w:left w:val="none" w:sz="0"/>
                    <w:bottom w:val="none" w:sz="0"/>
                    <w:right w:val="none" w:sz="0"/>
                  </w:tcBorders>
                  <w:shd w:fill="CCFBF1" w:val="clear"/>
                  <w:tcMar>
                    <w:top w:type="dxa" w:w="60"/>
                    <w:left w:type="dxa" w:w="100"/>
                    <w:bottom w:type="dxa" w:w="60"/>
                    <w:right w:type="dxa" w:w="100"/>
                  </w:tcMar>
                  <w:vAlign w:val="center"/>
                </w:tcPr>
                <w:p>
                  <w:pPr>
                    <w:spacing w:after="20"/>
                    <w:jc w:val="center"/>
                  </w:pPr>
                  <w:r>
                    <w:rPr>
                      <w:rFonts w:ascii="Arial" w:cs="Arial" w:eastAsia="Arial" w:hAnsi="Arial"/>
                      <w:b/>
                      <w:bCs/>
                      <w:color w:val="1B2A4A"/>
                      <w:sz w:val="17"/>
                      <w:szCs w:val="17"/>
                    </w:rPr>
                    <w:t xml:space="preserve">Prism's AWS Account</w:t>
                  </w:r>
                </w:p>
                <w:p>
                  <w:pPr>
                    <w:spacing w:after="0"/>
                    <w:jc w:val="center"/>
                  </w:pPr>
                  <w:r>
                    <w:rPr>
                      <w:rFonts w:ascii="Arial" w:cs="Arial" w:eastAsia="Arial" w:hAnsi="Arial"/>
                      <w:color w:val="475569"/>
                      <w:sz w:val="14"/>
                      <w:szCs w:val="14"/>
                    </w:rPr>
                    <w:t xml:space="preserve">Managed by Prism, isolated per tenant</w:t>
                  </w:r>
                </w:p>
              </w:tc>
            </w:tr>
            <w:tr>
              <w:trPr>
                <w:trHeight w:val="60" w:hRule="exact"/>
              </w:trPr>
              <w:tc>
                <w:tcPr>
                  <w:tcW w:type="dxa" w:w="4640"/>
                  <w:gridSpan w:val="1"/>
                  <w:tcBorders>
                    <w:top w:val="none" w:sz="0"/>
                    <w:left w:val="none" w:sz="0"/>
                    <w:bottom w:val="none" w:sz="0"/>
                    <w:right w:val="none" w:sz="0"/>
                  </w:tcBorders>
                  <w:shd w:fill="FFFFFF" w:val="clear"/>
                </w:tcPr>
                <w:p>
                  <w:pPr>
                    <w:spacing w:after="0"/>
                  </w:pP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FFFFFF" w:val="clear"/>
                </w:tcPr>
                <w:p>
                  <w:pPr>
                    <w:spacing w:after="0"/>
                  </w:pPr>
                </w:p>
              </w:tc>
            </w:tr>
            <w:tr>
              <w:tc>
                <w:tcPr>
                  <w:tcW w:type="dxa" w:w="4640"/>
                  <w:gridSpan w:val="1"/>
                  <w:tcBorders>
                    <w:top w:val="none" w:sz="0"/>
                    <w:left w:val="none" w:sz="0"/>
                    <w:bottom w:val="none" w:sz="0"/>
                    <w:right w:val="none" w:sz="0"/>
                  </w:tcBorders>
                  <w:shd w:fill="3B82F6"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EKS / OpenShift: API (x3) + Frontend (x2) + Workers</w:t>
                  </w: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0D9488"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EKS Fargate: Auto-scaling API + Iris + Workers</w:t>
                  </w:r>
                </w:p>
              </w:tc>
            </w:tr>
            <w:tr>
              <w:trPr>
                <w:trHeight w:val="40" w:hRule="exact"/>
              </w:trPr>
              <w:tc>
                <w:tcPr>
                  <w:tcW w:type="dxa" w:w="4640"/>
                  <w:gridSpan w:val="1"/>
                  <w:tcBorders>
                    <w:top w:val="none" w:sz="0"/>
                    <w:left w:val="none" w:sz="0"/>
                    <w:bottom w:val="none" w:sz="0"/>
                    <w:right w:val="none" w:sz="0"/>
                  </w:tcBorders>
                  <w:shd w:fill="FFFFFF" w:val="clear"/>
                </w:tcPr>
                <w:p>
                  <w:pPr>
                    <w:spacing w:after="0"/>
                  </w:pP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FFFFFF" w:val="clear"/>
                </w:tcPr>
                <w:p>
                  <w:pPr>
                    <w:spacing w:after="0"/>
                  </w:pPr>
                </w:p>
              </w:tc>
            </w:tr>
            <w:tr>
              <w:tc>
                <w:tcPr>
                  <w:tcW w:type="dxa" w:w="4640"/>
                  <w:gridSpan w:val="1"/>
                  <w:tcBorders>
                    <w:top w:val="none" w:sz="0"/>
                    <w:left w:val="none" w:sz="0"/>
                    <w:bottom w:val="none" w:sz="0"/>
                    <w:right w:val="none" w:sz="0"/>
                  </w:tcBorders>
                  <w:shd w:fill="1E40AF"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Neo4j (r5.2xl) + Redis + Vault/KMS</w:t>
                  </w: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115E59"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Neo4j (DB per tenant) + ElastiCache + KMS</w:t>
                  </w:r>
                </w:p>
              </w:tc>
            </w:tr>
            <w:tr>
              <w:trPr>
                <w:trHeight w:val="40" w:hRule="exact"/>
              </w:trPr>
              <w:tc>
                <w:tcPr>
                  <w:tcW w:type="dxa" w:w="4640"/>
                  <w:gridSpan w:val="1"/>
                  <w:tcBorders>
                    <w:top w:val="none" w:sz="0"/>
                    <w:left w:val="none" w:sz="0"/>
                    <w:bottom w:val="none" w:sz="0"/>
                    <w:right w:val="none" w:sz="0"/>
                  </w:tcBorders>
                  <w:shd w:fill="FFFFFF" w:val="clear"/>
                </w:tcPr>
                <w:p>
                  <w:pPr>
                    <w:spacing w:after="0"/>
                  </w:pP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FFFFFF" w:val="clear"/>
                </w:tcPr>
                <w:p>
                  <w:pPr>
                    <w:spacing w:after="0"/>
                  </w:pPr>
                </w:p>
              </w:tc>
            </w:tr>
            <w:tr>
              <w:tc>
                <w:tcPr>
                  <w:tcW w:type="dxa" w:w="4640"/>
                  <w:gridSpan w:val="1"/>
                  <w:tcBorders>
                    <w:top w:val="none" w:sz="0"/>
                    <w:left w:val="none" w:sz="0"/>
                    <w:bottom w:val="none" w:sz="0"/>
                    <w:right w:val="none" w:sz="0"/>
                  </w:tcBorders>
                  <w:shd w:fill="475569"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Delivery: Helm + ArgoCD</w:t>
                  </w:r>
                </w:p>
              </w:tc>
              <w:tc>
                <w:tcPr>
                  <w:tcW w:type="dxa" w:w="80"/>
                  <w:gridSpan w:val="1"/>
                  <w:tcBorders>
                    <w:top w:val="none" w:sz="0"/>
                    <w:left w:val="none" w:sz="0"/>
                    <w:bottom w:val="none" w:sz="0"/>
                    <w:right w:val="none" w:sz="0"/>
                  </w:tcBorders>
                  <w:shd w:fill="FFFFFF" w:val="clear"/>
                </w:tcPr>
                <w:p>
                  <w:pPr>
                    <w:spacing w:after="0"/>
                  </w:pPr>
                </w:p>
              </w:tc>
              <w:tc>
                <w:tcPr>
                  <w:tcW w:type="dxa" w:w="4640"/>
                  <w:gridSpan w:val="1"/>
                  <w:tcBorders>
                    <w:top w:val="none" w:sz="0"/>
                    <w:left w:val="none" w:sz="0"/>
                    <w:bottom w:val="none" w:sz="0"/>
                    <w:right w:val="none" w:sz="0"/>
                  </w:tcBorders>
                  <w:shd w:fill="475569"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FFFFF"/>
                      <w:sz w:val="14"/>
                      <w:szCs w:val="14"/>
                    </w:rPr>
                    <w:t xml:space="preserve">CloudFront + WAF + Cognito + Stripe</w:t>
                  </w:r>
                </w:p>
              </w:tc>
            </w:tr>
          </w:tbl>
          <w:p/>
        </w:tc>
      </w:tr>
    </w:tbl>
    <w:p>
      <w:pPr>
        <w:spacing w:after="240" w:before="80"/>
        <w:jc w:val="center"/>
      </w:pPr>
      <w:r>
        <w:rPr>
          <w:rFonts w:ascii="Arial" w:cs="Arial" w:eastAsia="Arial" w:hAnsi="Arial"/>
          <w:i/>
          <w:iCs/>
          <w:color w:val="475569"/>
          <w:sz w:val="18"/>
          <w:szCs w:val="18"/>
        </w:rPr>
        <w:t xml:space="preserve">Figure 5: Self-Hosted vs SaaS Deployment Comparison</w:t>
      </w:r>
    </w:p>
    <w:p>
      <w:r>
        <w:br w:type="page"/>
      </w:r>
    </w:p>
    <w:p>
      <w:pPr>
        <w:pStyle w:val="Heading1"/>
      </w:pPr>
      <w:r>
        <w:t xml:space="preserve">Data Security and Privacy Architecture</w:t>
      </w:r>
    </w:p>
    <w:p>
      <w:pPr>
        <w:spacing w:after="160"/>
      </w:pPr>
      <w:r>
        <w:rPr>
          <w:rFonts w:ascii="Arial" w:cs="Arial" w:eastAsia="Arial" w:hAnsi="Arial"/>
          <w:sz w:val="22"/>
          <w:szCs w:val="22"/>
        </w:rPr>
        <w:t xml:space="preserve">Prism is designed for banking, healthcare, and regulated environments. Security is built into every layer, not bolted 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sz="0"/>
              <w:left w:val="none" w:sz="0"/>
              <w:bottom w:val="none" w:sz="0"/>
              <w:right w:val="none" w:sz="0"/>
            </w:tcBorders>
            <w:shd w:fill="1B2A4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PRISM — SECURITY ARCHITECTURE (7 LAYERS)</w:t>
            </w:r>
          </w:p>
        </w:tc>
      </w:tr>
      <w:tr>
        <w:tc>
          <w:tcPr>
            <w:tcW w:type="dxa" w:w="9360"/>
            <w:tcBorders>
              <w:top w:val="none" w:sz="0"/>
              <w:left w:val="single" w:color="DC2626" w:sz="6"/>
              <w:bottom w:val="none" w:sz="0"/>
              <w:right w:val="none" w:sz="0"/>
            </w:tcBorders>
            <w:shd w:fill="FEE2E2" w:val="clear"/>
            <w:tcMar>
              <w:top w:type="dxa" w:w="100"/>
              <w:left w:type="dxa" w:w="140"/>
              <w:bottom w:type="dxa" w:w="100"/>
              <w:right w:type="dxa" w:w="140"/>
            </w:tcMar>
          </w:tcPr>
          <w:p>
            <w:pPr>
              <w:spacing w:after="20"/>
            </w:pPr>
            <w:r>
              <w:rPr>
                <w:rFonts w:ascii="Arial" w:cs="Arial" w:eastAsia="Arial" w:hAnsi="Arial"/>
                <w:b/>
                <w:bCs/>
                <w:color w:val="DC2626"/>
                <w:sz w:val="18"/>
                <w:szCs w:val="18"/>
              </w:rPr>
              <w:t xml:space="preserve">PERIMETER</w:t>
            </w:r>
          </w:p>
          <w:p>
            <w:pPr>
              <w:spacing w:after="0"/>
            </w:pPr>
            <w:r>
              <w:rPr>
                <w:rFonts w:ascii="Arial" w:cs="Arial" w:eastAsia="Arial" w:hAnsi="Arial"/>
                <w:color w:val="1B2A4A"/>
                <w:sz w:val="16"/>
                <w:szCs w:val="16"/>
              </w:rPr>
              <w:t xml:space="preserve">WAF (OWASP rules)  →  TLS 1.2+  →  Rate Limiting  →  DDoS Shield</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92400E" w:sz="6"/>
              <w:bottom w:val="none" w:sz="0"/>
              <w:right w:val="none" w:sz="0"/>
            </w:tcBorders>
            <w:shd w:fill="FEF3C7" w:val="clear"/>
            <w:tcMar>
              <w:top w:type="dxa" w:w="100"/>
              <w:left w:type="dxa" w:w="140"/>
              <w:bottom w:type="dxa" w:w="100"/>
              <w:right w:type="dxa" w:w="140"/>
            </w:tcMar>
          </w:tcPr>
          <w:p>
            <w:pPr>
              <w:spacing w:after="20"/>
            </w:pPr>
            <w:r>
              <w:rPr>
                <w:rFonts w:ascii="Arial" w:cs="Arial" w:eastAsia="Arial" w:hAnsi="Arial"/>
                <w:b/>
                <w:bCs/>
                <w:color w:val="92400E"/>
                <w:sz w:val="18"/>
                <w:szCs w:val="18"/>
              </w:rPr>
              <w:t xml:space="preserve">AUTHENTICATION</w:t>
            </w:r>
          </w:p>
          <w:p>
            <w:pPr>
              <w:spacing w:after="0"/>
            </w:pPr>
            <w:r>
              <w:rPr>
                <w:rFonts w:ascii="Arial" w:cs="Arial" w:eastAsia="Arial" w:hAnsi="Arial"/>
                <w:color w:val="1B2A4A"/>
                <w:sz w:val="16"/>
                <w:szCs w:val="16"/>
              </w:rPr>
              <w:t xml:space="preserve">OIDC/SAML  →  JWT RS256 (15-min tokens)  →  Tenant Extraction  →  Session Mgmt</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2563EB" w:sz="6"/>
              <w:bottom w:val="none" w:sz="0"/>
              <w:right w:val="none" w:sz="0"/>
            </w:tcBorders>
            <w:shd w:fill="DBEAFE" w:val="clear"/>
            <w:tcMar>
              <w:top w:type="dxa" w:w="100"/>
              <w:left w:type="dxa" w:w="140"/>
              <w:bottom w:type="dxa" w:w="100"/>
              <w:right w:type="dxa" w:w="140"/>
            </w:tcMar>
          </w:tcPr>
          <w:p>
            <w:pPr>
              <w:spacing w:after="20"/>
            </w:pPr>
            <w:r>
              <w:rPr>
                <w:rFonts w:ascii="Arial" w:cs="Arial" w:eastAsia="Arial" w:hAnsi="Arial"/>
                <w:b/>
                <w:bCs/>
                <w:color w:val="2563EB"/>
                <w:sz w:val="18"/>
                <w:szCs w:val="18"/>
              </w:rPr>
              <w:t xml:space="preserve">AUTHORIZATION (RBAC)</w:t>
            </w:r>
          </w:p>
          <w:p>
            <w:pPr>
              <w:spacing w:after="0"/>
            </w:pPr>
            <w:r>
              <w:rPr>
                <w:rFonts w:ascii="Arial" w:cs="Arial" w:eastAsia="Arial" w:hAnsi="Arial"/>
                <w:color w:val="1B2A4A"/>
                <w:sz w:val="16"/>
                <w:szCs w:val="16"/>
              </w:rPr>
              <w:t xml:space="preserve">7 roles × 6 permission domains  |  @require_role() on every endpoint  |  API key scoping</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115E59" w:sz="6"/>
              <w:bottom w:val="none" w:sz="0"/>
              <w:right w:val="none" w:sz="0"/>
            </w:tcBorders>
            <w:shd w:fill="CCFBF1" w:val="clear"/>
            <w:tcMar>
              <w:top w:type="dxa" w:w="100"/>
              <w:left w:type="dxa" w:w="140"/>
              <w:bottom w:type="dxa" w:w="100"/>
              <w:right w:type="dxa" w:w="140"/>
            </w:tcMar>
          </w:tcPr>
          <w:p>
            <w:pPr>
              <w:spacing w:after="20"/>
            </w:pPr>
            <w:r>
              <w:rPr>
                <w:rFonts w:ascii="Arial" w:cs="Arial" w:eastAsia="Arial" w:hAnsi="Arial"/>
                <w:b/>
                <w:bCs/>
                <w:color w:val="115E59"/>
                <w:sz w:val="18"/>
                <w:szCs w:val="18"/>
              </w:rPr>
              <w:t xml:space="preserve">TENANT ISOLATION</w:t>
            </w:r>
          </w:p>
          <w:p>
            <w:pPr>
              <w:spacing w:after="0"/>
            </w:pPr>
            <w:r>
              <w:rPr>
                <w:rFonts w:ascii="Arial" w:cs="Arial" w:eastAsia="Arial" w:hAnsi="Arial"/>
                <w:color w:val="1B2A4A"/>
                <w:sz w:val="16"/>
                <w:szCs w:val="16"/>
              </w:rPr>
              <w:t xml:space="preserve">Neo4j: DB-per-tenant  |  Redis: tenant-prefixed keys  |  Files: scoped paths  |  Iris: scoped sessions</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7C3AED" w:sz="6"/>
              <w:bottom w:val="none" w:sz="0"/>
              <w:right w:val="none" w:sz="0"/>
            </w:tcBorders>
            <w:shd w:fill="EDE9FE" w:val="clear"/>
            <w:tcMar>
              <w:top w:type="dxa" w:w="100"/>
              <w:left w:type="dxa" w:w="140"/>
              <w:bottom w:type="dxa" w:w="100"/>
              <w:right w:type="dxa" w:w="140"/>
            </w:tcMar>
          </w:tcPr>
          <w:p>
            <w:pPr>
              <w:spacing w:after="20"/>
            </w:pPr>
            <w:r>
              <w:rPr>
                <w:rFonts w:ascii="Arial" w:cs="Arial" w:eastAsia="Arial" w:hAnsi="Arial"/>
                <w:b/>
                <w:bCs/>
                <w:color w:val="7C3AED"/>
                <w:sz w:val="18"/>
                <w:szCs w:val="18"/>
              </w:rPr>
              <w:t xml:space="preserve">ENCRYPTION</w:t>
            </w:r>
          </w:p>
          <w:p>
            <w:pPr>
              <w:spacing w:after="0"/>
            </w:pPr>
            <w:r>
              <w:rPr>
                <w:rFonts w:ascii="Arial" w:cs="Arial" w:eastAsia="Arial" w:hAnsi="Arial"/>
                <w:color w:val="1B2A4A"/>
                <w:sz w:val="16"/>
                <w:szCs w:val="16"/>
              </w:rPr>
              <w:t xml:space="preserve">At rest: AES-256 + per-tenant Fernet  |  In transit: TLS everywhere  |  Secrets: Vault/KMS  |  BYOK</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1B2A4A" w:sz="6"/>
              <w:bottom w:val="none" w:sz="0"/>
              <w:right w:val="none" w:sz="0"/>
            </w:tcBorders>
            <w:shd w:fill="F1F5F9" w:val="clear"/>
            <w:tcMar>
              <w:top w:type="dxa" w:w="100"/>
              <w:left w:type="dxa" w:w="140"/>
              <w:bottom w:type="dxa" w:w="100"/>
              <w:right w:type="dxa" w:w="140"/>
            </w:tcMar>
          </w:tcPr>
          <w:p>
            <w:pPr>
              <w:spacing w:after="20"/>
            </w:pPr>
            <w:r>
              <w:rPr>
                <w:rFonts w:ascii="Arial" w:cs="Arial" w:eastAsia="Arial" w:hAnsi="Arial"/>
                <w:b/>
                <w:bCs/>
                <w:color w:val="1B2A4A"/>
                <w:sz w:val="18"/>
                <w:szCs w:val="18"/>
              </w:rPr>
              <w:t xml:space="preserve">INJECTION PREVENTION</w:t>
            </w:r>
          </w:p>
          <w:p>
            <w:pPr>
              <w:spacing w:after="0"/>
            </w:pPr>
            <w:r>
              <w:rPr>
                <w:rFonts w:ascii="Arial" w:cs="Arial" w:eastAsia="Arial" w:hAnsi="Arial"/>
                <w:color w:val="1B2A4A"/>
                <w:sz w:val="16"/>
                <w:szCs w:val="16"/>
              </w:rPr>
              <w:t xml:space="preserve">Cypher: 100% parameterized  |  LLM: PromptGuard  |  Input: Pydantic  |  Files: magic-byte check</w:t>
            </w:r>
          </w:p>
        </w:tc>
      </w:tr>
      <w:tr>
        <w:trPr>
          <w:trHeight w:val="60" w:hRule="exact"/>
        </w:trPr>
        <w:tc>
          <w:tcPr>
            <w:tcW w:type="dxa" w:w="9360"/>
            <w:gridSpan w:val="1"/>
            <w:tcBorders>
              <w:top w:val="none" w:sz="0"/>
              <w:left w:val="none" w:sz="0"/>
              <w:bottom w:val="none" w:sz="0"/>
              <w:right w:val="none" w:sz="0"/>
            </w:tcBorders>
            <w:shd w:fill="FFFFFF" w:val="clear"/>
          </w:tcPr>
          <w:p>
            <w:pPr>
              <w:spacing w:after="0"/>
            </w:pPr>
          </w:p>
        </w:tc>
      </w:tr>
      <w:tr>
        <w:tc>
          <w:tcPr>
            <w:tcW w:type="dxa" w:w="9360"/>
            <w:tcBorders>
              <w:top w:val="none" w:sz="0"/>
              <w:left w:val="single" w:color="059669" w:sz="6"/>
              <w:bottom w:val="none" w:sz="0"/>
              <w:right w:val="none" w:sz="0"/>
            </w:tcBorders>
            <w:shd w:fill="D1FAE5" w:val="clear"/>
            <w:tcMar>
              <w:top w:type="dxa" w:w="100"/>
              <w:left w:type="dxa" w:w="140"/>
              <w:bottom w:type="dxa" w:w="100"/>
              <w:right w:type="dxa" w:w="140"/>
            </w:tcMar>
          </w:tcPr>
          <w:p>
            <w:pPr>
              <w:spacing w:after="20"/>
            </w:pPr>
            <w:r>
              <w:rPr>
                <w:rFonts w:ascii="Arial" w:cs="Arial" w:eastAsia="Arial" w:hAnsi="Arial"/>
                <w:b/>
                <w:bCs/>
                <w:color w:val="059669"/>
                <w:sz w:val="18"/>
                <w:szCs w:val="18"/>
              </w:rPr>
              <w:t xml:space="preserve">AUDIT + MONITORING</w:t>
            </w:r>
          </w:p>
          <w:p>
            <w:pPr>
              <w:spacing w:after="0"/>
            </w:pPr>
            <w:r>
              <w:rPr>
                <w:rFonts w:ascii="Arial" w:cs="Arial" w:eastAsia="Arial" w:hAnsi="Arial"/>
                <w:color w:val="1B2A4A"/>
                <w:sz w:val="16"/>
                <w:szCs w:val="16"/>
              </w:rPr>
              <w:t xml:space="preserve">15 event types  |  Immutable  |  365-day retention  |  CloudTrail + GuardDuty + Security Hub</w:t>
            </w:r>
          </w:p>
        </w:tc>
      </w:tr>
    </w:tbl>
    <w:p>
      <w:pPr>
        <w:spacing w:after="240" w:before="80"/>
        <w:jc w:val="center"/>
      </w:pPr>
      <w:r>
        <w:rPr>
          <w:rFonts w:ascii="Arial" w:cs="Arial" w:eastAsia="Arial" w:hAnsi="Arial"/>
          <w:i/>
          <w:iCs/>
          <w:color w:val="475569"/>
          <w:sz w:val="18"/>
          <w:szCs w:val="18"/>
        </w:rPr>
        <w:t xml:space="preserve">Figure 6: Seven-Layer Security Architecture</w:t>
      </w:r>
    </w:p>
    <w:p>
      <w:pPr>
        <w:spacing w:after="120"/>
      </w:pPr>
    </w:p>
    <w:p>
      <w:pPr>
        <w:pStyle w:val="Heading2"/>
      </w:pPr>
      <w:r>
        <w:t xml:space="preserve">Tenant Isolation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98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Isolation Method</w:t>
            </w:r>
          </w:p>
        </w:tc>
        <w:tc>
          <w:tcPr>
            <w:tcW w:type="dxa" w:w="398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Verification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Graph</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Separate Neo4j database per tenant. Queries physically cannot cross boundaries.</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Test: Tenant A query returns zero Tenant B entities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API</w:t>
            </w:r>
          </w:p>
        </w:tc>
        <w:tc>
          <w:tcPr>
            <w:tcW w:type="dxa" w:w="39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JWT tenant extraction at middleware. Scopes every downstream query.</w:t>
            </w:r>
          </w:p>
        </w:tc>
        <w:tc>
          <w:tcPr>
            <w:tcW w:type="dxa" w:w="39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Test: forged X-Tenant-ID header rejected; JWT wins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Storage</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Tenant-scoped paths. Path traversal ("..") rejected.</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Test: path traversal attempt returns 403</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Iris</w:t>
            </w:r>
          </w:p>
        </w:tc>
        <w:tc>
          <w:tcPr>
            <w:tcW w:type="dxa" w:w="39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Session + memory scoped. Cannot reference other tenant data.</w:t>
            </w:r>
          </w:p>
        </w:tc>
        <w:tc>
          <w:tcPr>
            <w:tcW w:type="dxa" w:w="398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Test: Iris asked about Tenant B entity returns not found</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Encryption</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Per-tenant Fernet keys. BYOK supported.</w:t>
            </w:r>
          </w:p>
        </w:tc>
        <w:tc>
          <w:tcPr>
            <w:tcW w:type="dxa" w:w="398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Test: key rotation succeeds without data loss</w:t>
            </w:r>
          </w:p>
        </w:tc>
      </w:tr>
    </w:tbl>
    <w:p>
      <w:pPr>
        <w:spacing w:after="120"/>
      </w:pPr>
    </w:p>
    <w:p>
      <w:pPr>
        <w:pStyle w:val="Heading2"/>
      </w:pPr>
      <w:r>
        <w:t xml:space="preserve">Compliance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c>
          <w:tcPr>
            <w:tcW w:type="dxa" w:w="1400"/>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Standard</w:t>
            </w:r>
          </w:p>
        </w:tc>
        <w:tc>
          <w:tcPr>
            <w:tcW w:type="dxa" w:w="2653"/>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Key Controls</w:t>
            </w:r>
          </w:p>
        </w:tc>
        <w:tc>
          <w:tcPr>
            <w:tcW w:type="dxa" w:w="2653"/>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c>
          <w:tcPr>
            <w:tcW w:type="dxa" w:w="2654"/>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SOC2 Type II</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Access control, encryption, audit, monitoring</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RBAC, AES-256, 365-day audit log, alarms</w:t>
            </w:r>
          </w:p>
        </w:tc>
        <w:tc>
          <w:tcPr>
            <w:tcW w:type="dxa" w:w="2654"/>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Architecture ready; cert Year 2</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PCI-DSS</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Data encryption, access restriction, vuln mgmt</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TLS, RBAC, GHAS integration, audit log</w:t>
            </w:r>
          </w:p>
        </w:tc>
        <w:tc>
          <w:tcPr>
            <w:tcW w:type="dxa" w:w="2654"/>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Self-hosted compliant by design</w:t>
            </w:r>
          </w:p>
        </w:tc>
      </w:tr>
      <w:tr>
        <w:tc>
          <w:tcPr>
            <w:tcW w:type="dxa" w:w="14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HIPAA</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PHI encryption, access controls, audit controls</w:t>
            </w:r>
          </w:p>
        </w:tc>
        <w:tc>
          <w:tcPr>
            <w:tcW w:type="dxa" w:w="2653"/>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Per-tenant encryption, RBAC, TLS, audit</w:t>
            </w:r>
          </w:p>
        </w:tc>
        <w:tc>
          <w:tcPr>
            <w:tcW w:type="dxa" w:w="2654"/>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Architecture supports; BAA Year 2</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GDPR</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Portability, deletion, consent, minimization</w:t>
            </w:r>
          </w:p>
        </w:tc>
        <w:tc>
          <w:tcPr>
            <w:tcW w:type="dxa" w:w="2653"/>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Export API, tenant deletion, metadata only</w:t>
            </w:r>
          </w:p>
        </w:tc>
        <w:tc>
          <w:tcPr>
            <w:tcW w:type="dxa" w:w="2654"/>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Export + deletion implemented</w:t>
            </w:r>
          </w:p>
        </w:tc>
      </w:tr>
    </w:tbl>
    <w:p>
      <w:r>
        <w:br w:type="page"/>
      </w:r>
    </w:p>
    <w:p>
      <w:pPr>
        <w:pStyle w:val="Heading1"/>
      </w:pPr>
      <w:r>
        <w:t xml:space="preserve">Monetization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Starter</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Professional</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Enterprise</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Custom</w:t>
            </w:r>
          </w:p>
        </w:tc>
      </w:tr>
      <w:tr>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Annual Price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$36K ($3K/mo)</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$96K ($8K/mo)</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$180K ($15K/mo)</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Custom</w:t>
            </w:r>
          </w:p>
        </w:tc>
      </w:tr>
      <w:tr>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Platforms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Up to 5</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Up to 15</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Unlimited</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Unlimited</w:t>
            </w:r>
          </w:p>
        </w:tc>
      </w:tr>
      <w:tr>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Modules</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 core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All standard</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All + Prism LLM</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All + white-label</w:t>
            </w:r>
          </w:p>
        </w:tc>
      </w:tr>
      <w:tr>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Document Intel</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10 docs/mo</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100 docs/mo</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Unlimited</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Unlimited + connectors</w:t>
            </w:r>
          </w:p>
        </w:tc>
      </w:tr>
      <w:tr>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Deployment</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Self-hosted</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Both</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Both</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Dedicated</w:t>
            </w:r>
          </w:p>
        </w:tc>
      </w:tr>
      <w:tr>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Support</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Community</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Business hours</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24/7 + CSM</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Dedicated SE</w:t>
            </w:r>
          </w:p>
        </w:tc>
      </w:tr>
    </w:tbl>
    <w:p>
      <w:pPr>
        <w:spacing w:after="120"/>
      </w:pPr>
    </w:p>
    <w:p>
      <w:pPr>
        <w:pStyle w:val="Heading2"/>
      </w:pPr>
      <w: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1</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2</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3</w:t>
            </w:r>
          </w:p>
        </w:tc>
        <w:tc>
          <w:tcPr>
            <w:tcW w:type="dxa" w:w="1872"/>
            <w:tcBorders>
              <w:top w:val="single" w:color="CBD5E1" w:sz="1"/>
              <w:left w:val="single" w:color="CBD5E1" w:sz="1"/>
              <w:bottom w:val="single" w:color="CBD5E1" w:sz="1"/>
              <w:right w:val="single" w:color="CBD5E1"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Year 4</w:t>
            </w:r>
          </w:p>
        </w:tc>
      </w:tr>
      <w:tr>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Customers</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3–5 pilots</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10–20</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30–50</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80–120</w:t>
            </w:r>
          </w:p>
        </w:tc>
      </w:tr>
      <w:tr>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ARR</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$150K–$250K</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$800K–$1.6M</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$3M–$5M</w:t>
            </w:r>
          </w:p>
        </w:tc>
        <w:tc>
          <w:tcPr>
            <w:tcW w:type="dxa" w:w="1872"/>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18"/>
                <w:szCs w:val="18"/>
              </w:rPr>
              <w:t xml:space="preserve">$9.6M–$14.4M</w:t>
            </w:r>
          </w:p>
        </w:tc>
      </w:tr>
      <w:tr>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Team</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1 + AI agents</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3–5</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10–15</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sz w:val="18"/>
                <w:szCs w:val="18"/>
              </w:rPr>
              <w:t xml:space="preserve">25–40</w:t>
            </w:r>
          </w:p>
        </w:tc>
      </w:tr>
    </w:tbl>
    <w:p>
      <w:r>
        <w:br w:type="page"/>
      </w:r>
    </w:p>
    <w:p>
      <w:pPr>
        <w:spacing w:after="800"/>
      </w:pPr>
    </w:p>
    <w:p>
      <w:pPr>
        <w:pBdr>
          <w:bottom w:val="single" w:color="2563EB" w:sz="4" w:space="1"/>
        </w:pBdr>
        <w:spacing w:after="200" w:before="200"/>
      </w:pPr>
    </w:p>
    <w:p>
      <w:pPr>
        <w:spacing w:after="160"/>
        <w:jc w:val="center"/>
      </w:pPr>
      <w:r>
        <w:rPr>
          <w:rFonts w:ascii="Arial" w:cs="Arial" w:eastAsia="Arial" w:hAnsi="Arial"/>
          <w:b/>
          <w:bCs/>
          <w:color w:val="1B2A4A"/>
          <w:sz w:val="48"/>
          <w:szCs w:val="48"/>
        </w:rPr>
        <w:t xml:space="preserve">PRISM</w:t>
      </w:r>
    </w:p>
    <w:p>
      <w:pPr>
        <w:spacing w:after="80"/>
        <w:jc w:val="center"/>
      </w:pPr>
      <w:r>
        <w:rPr>
          <w:rFonts w:ascii="Arial" w:cs="Arial" w:eastAsia="Arial" w:hAnsi="Arial"/>
          <w:i/>
          <w:iCs/>
          <w:color w:val="2563EB"/>
          <w:sz w:val="24"/>
          <w:szCs w:val="24"/>
        </w:rPr>
        <w:t xml:space="preserve">See Everything. Understand Everything. Secure Everything.</w:t>
      </w:r>
    </w:p>
    <w:p>
      <w:pPr>
        <w:spacing w:after="80"/>
        <w:jc w:val="center"/>
      </w:pPr>
      <w:r>
        <w:rPr>
          <w:rFonts w:ascii="Arial" w:cs="Arial" w:eastAsia="Arial" w:hAnsi="Arial"/>
          <w:i/>
          <w:iCs/>
          <w:color w:val="0D9488"/>
          <w:sz w:val="20"/>
          <w:szCs w:val="20"/>
        </w:rPr>
        <w:t xml:space="preserve">Iris — Your Infrastructure Speaks. Iris Translates.</w:t>
      </w:r>
    </w:p>
    <w:p>
      <w:pPr>
        <w:jc w:val="center"/>
      </w:pPr>
      <w:r>
        <w:rPr>
          <w:rFonts w:ascii="Arial" w:cs="Arial" w:eastAsia="Arial" w:hAnsi="Arial"/>
          <w:color w:val="94A3B8"/>
          <w:sz w:val="18"/>
          <w:szCs w:val="18"/>
        </w:rPr>
        <w:t xml:space="preserve">Confidential  |  April 2026  |  Version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tabs>
        <w:tab w:val="right" w:pos="9360"/>
      </w:tabs>
      <w:spacing w:before="0"/>
    </w:pPr>
    <w:r>
      <w:rPr>
        <w:rFonts w:ascii="Arial" w:cs="Arial" w:eastAsia="Arial" w:hAnsi="Arial"/>
        <w:color w:val="94A3B8"/>
        <w:sz w:val="16"/>
        <w:szCs w:val="16"/>
      </w:rPr>
      <w:t xml:space="preserve">Prism © 2026  |  CPT Engine Patent Pending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tabs>
        <w:tab w:val="right" w:pos="9360"/>
      </w:tabs>
      <w:spacing w:after="0"/>
    </w:pPr>
    <w:r>
      <w:rPr>
        <w:rFonts w:ascii="Arial" w:cs="Arial" w:eastAsia="Arial" w:hAnsi="Arial"/>
        <w:color w:val="94A3B8"/>
        <w:sz w:val="16"/>
        <w:szCs w:val="16"/>
      </w:rPr>
      <w:t xml:space="preserve">PRISM  |  Executive Implementation Plan v2.0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2026-04-30T23:03:07.487Z</dcterms:created>
  <dcterms:modified xsi:type="dcterms:W3CDTF">2026-04-30T23:03:07.505Z</dcterms:modified>
</cp:coreProperties>
</file>

<file path=docProps/custom.xml><?xml version="1.0" encoding="utf-8"?>
<Properties xmlns="http://schemas.openxmlformats.org/officeDocument/2006/custom-properties" xmlns:vt="http://schemas.openxmlformats.org/officeDocument/2006/docPropsVTypes"/>
</file>