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8"/>
          <w:szCs w:val="48"/>
        </w:rPr>
        <w:t xml:space="preserve">Unannounced Monthly Centre Visit</w:t>
      </w:r>
    </w:p>
    <w:p>
      <w:pPr>
        <w:spacing w:after="200"/>
        <w:jc w:val="center"/>
      </w:pPr>
      <w:r>
        <w:rPr>
          <w:b/>
          <w:bCs/>
          <w:color w:val="B8860B"/>
          <w:sz w:val="32"/>
          <w:szCs w:val="32"/>
        </w:rPr>
        <w:t xml:space="preserve">Second Level Manager Field Audit — Analysis &amp; Insights</w:t>
      </w:r>
    </w:p>
    <w:p>
      <w:pPr>
        <w:spacing w:after="40" w:before="400"/>
        <w:jc w:val="center"/>
      </w:pPr>
      <w:r>
        <w:rPr>
          <w:color w:val="595959"/>
          <w:sz w:val="22"/>
          <w:szCs w:val="22"/>
        </w:rPr>
        <w:t xml:space="preserve">Data source: Google Form responses, 1–23 July 2026 (updated dataset)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73 unannounced visits · 73 centres · 9 Second Level Managers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Prepared for: MIS, Dr. Reddy's Foundation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sz w:val="21"/>
          <w:szCs w:val="21"/>
        </w:rPr>
        <w:t xml:space="preserve">This update refreshes the analysis with 73 unannounced visits recorded between 1 and 23 July 2026 (up from 63 at the last refresh and 41 at first analysis) — the same nine Second Level Managers (SLMs), now covering 73 distinct centres. The underlying pattern from earlier cycles holds: process discipline around alumni follow-up and employer engagement remains the weakest link, aspirant-facing basics remain strong, and a small, consistent set of centres carries real data-veracity risk.</w:t>
      </w:r>
    </w:p>
    <w:p>
      <w:pPr>
        <w:spacing w:after="160" w:line="276"/>
      </w:pPr>
      <w:r>
        <w:rPr>
          <w:sz w:val="21"/>
          <w:szCs w:val="21"/>
        </w:rPr>
        <w:t xml:space="preserve">Five headline findings this cycle: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Alumni Hand-holding is still the single weakest control — 42 of 67 applicable visits (62.7%) flagged “Need Improvement,” though this has improved from 66.7% at the last refresh as more centres catch up on their Contact 1/2/3 cadence.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Weekly team meeting documentation (54.9%) and Employer Connect (44.3%) remain the next-largest process gaps — Employer Connect specifically has improved noticeably from 60.5% previously, suggesting the push on employer cadence is gaining traction.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1"/>
          <w:szCs w:val="21"/>
        </w:rPr>
        <w:t xml:space="preserve">No new data-veracity red flags surfaced in the 10 visits added since the last refresh — the ghost-placement and DOB/age-mismatch findings remain confined to the same six centres identified earlier (five under Amit Chakraborty, one under Gagandeep Singh Sachar), reinforcing that this is a detection-depth issue rather than a spreading problem.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 new item has entered the weakest-12 list this cycle: “Refer to the activity planner — check if any activities are delayed” now shows 40.4% Need Improvement (19 of 47 applicable visits), driven by a wave of newer visits flagging delayed activities — worth watching next cycle.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Reporting-depth gaps have shifted, not closed: Phani has grown to the second-highest visit count (13) but the thinnest notes of any high-volume SLM (17 words on average) — the same light-touch-reporting concern previously flagged for Raghavender Rao now applies more visibly to Phani given the higher volume.</w:t>
      </w:r>
    </w:p>
    <w:p>
      <w:pPr>
        <w:spacing w:after="160" w:line="276"/>
      </w:pPr>
      <w:r>
        <w:rPr>
          <w:sz w:val="21"/>
          <w:szCs w:val="21"/>
        </w:rPr>
        <w:t xml:space="preserve">Aspirant Interaction remains the strongest section (7.0% Need Improvement), and zero visits across all 73 have reported an aspirant being asked for money for training or placement — the integrity signal from earlier cycles continues to hold at scale.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Coverage Snapshot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100"/>
      </w:tblGrid>
      <w:tr>
        <w:trPr>
          <w:cantSplit/>
          <w:tblHeader/>
        </w:trPr>
        <w:tc>
          <w:tcPr>
            <w:tcW w:type="dxa" w:w="5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visit responses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73 (up from 63 at last refresh, 41 at first analysis)</w:t>
            </w:r>
          </w:p>
        </w:tc>
      </w:tr>
      <w:tr>
        <w:trPr>
          <w:cantSplit/>
        </w:trP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centres visited</w:t>
            </w:r>
          </w:p>
        </w:tc>
        <w:tc>
          <w:tcPr>
            <w:tcW w:type="dxa" w:w="4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73 (no repeat visits in the period)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Level Managers reporting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range covered</w:t>
            </w:r>
          </w:p>
        </w:tc>
        <w:tc>
          <w:tcPr>
            <w:tcW w:type="dxa" w:w="4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Jul 2026 – 23 Jul 2026</w:t>
            </w:r>
          </w:p>
        </w:tc>
      </w:tr>
      <w:tr>
        <w:trPr>
          <w:cantSplit/>
        </w:trP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Checklist items per visit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~50 items across 4 sections + 4 free-text action logs + 3 reflective questions</w:t>
            </w:r>
          </w:p>
        </w:tc>
      </w:tr>
      <w:tr>
        <w:trPr>
          <w:cantSplit/>
        </w:trPr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Programs represented</w:t>
            </w:r>
          </w:p>
        </w:tc>
        <w:tc>
          <w:tcPr>
            <w:tcW w:type="dxa" w:w="4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GROW Youth, HQHCS, CFRSI, Grow-Green-Solar, Accenture/CITI/JPM-partnered Youth batches, and others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Section-Wise Compliance Scorecard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50"/>
        <w:gridCol w:w="1900"/>
        <w:gridCol w:w="1550"/>
        <w:gridCol w:w="19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 is Well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 Improvement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Need Improvement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Check (veracity &amp; records)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19.7%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 Check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407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20.7%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23.2%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Aspirant Interaction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639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7.0%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All four sections improved slightly versus the last refresh (Process Check 23.2% vs. 29.4%; Data Check 19.7% vs. 23.7%; Infra Check 20.7% vs. 20.5%, essentially flat; Aspirant Interaction 7.0% vs. 8.4%) — a modest but broad-based improvement across the larger sample, though Process Check remains the weakest section by a clear margin.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3.1 The 12 Weakest Checklist Items</w:t>
      </w:r>
    </w:p>
    <w:p>
      <w:pPr>
        <w:spacing w:after="160" w:line="276"/>
      </w:pPr>
      <w:r>
        <w:rPr>
          <w:sz w:val="21"/>
          <w:szCs w:val="21"/>
        </w:rPr>
        <w:t xml:space="preserve">Ranked by count of “Need Improvement” flags among applicable visits (n = applicable visits).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400"/>
        <w:gridCol w:w="1300"/>
      </w:tblGrid>
      <w:tr>
        <w:trPr>
          <w:cantSplit/>
          <w:tblHeader/>
        </w:trPr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Checklist Item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 / n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NI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Verify retention — Alumni Hand-holding Format updated as designed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 / 67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62.7%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AH holds a quality weekly team meeting with documented action points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 / 71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54.9%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AH regularly meets employers &amp; updates Top 20 Employer format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 / 70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44.3%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pending infra repairs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 / 73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39.7%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CA’s diary — guided daily by AH during planning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 / 68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41.2%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Aspirant Mock Interview Score Tracker updated in L&amp;D Google Sheet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/ 69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34.8%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scrap material cleared with support of Admin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/ 71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33.8%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of digital infra — PCs, smartboards, tablets, laptops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/ 73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32.9%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AH plans &amp; shares monthly enrolment/placement numbers by the 3rd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/ 72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29.2%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AH announces next batch-start date on notice boards by the 3rd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/ 73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28.8%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Planning for next batch-start announcement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/ 72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27.8%</w:t>
            </w:r>
          </w:p>
        </w:tc>
      </w:tr>
      <w:tr>
        <w:trPr>
          <w:cantSplit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 to the activity planner — check if any activities are delayed (NEW to this list)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Check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 / 47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40.4%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The list is materially the same as last cycle, still dominated by management-cadence items rather than training-delivery or welfare items. The one new entrant — the activity planner check — is worth flagging to SLMs specifically, since it wasn't a top-12 item previously and its 40.4% rate is now higher than several long-standing entries.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Deep Dive by Focus Area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4.1 Data Veracity</w:t>
      </w:r>
    </w:p>
    <w:p>
      <w:pPr>
        <w:spacing w:after="160" w:line="276"/>
      </w:pPr>
      <w:r>
        <w:rPr>
          <w:sz w:val="21"/>
          <w:szCs w:val="21"/>
        </w:rPr>
        <w:t xml:space="preserve">No new red-flag cases were found among the 10 visits added since the last refresh. The six previously identified cases stand unchanged:</w:t>
      </w:r>
    </w:p>
    <w:p>
      <w:pPr>
        <w:pBdr>
          <w:left w:val="single" w:color="B8860B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Danapur — “11 Aspirant verification initiated... 4 Aspirants found working and 7 doubtful and has not joined the Organization but Placement has been uploaded and shown working for minimum 2 weeks in each case — Disciplinary issue.”</w:t>
      </w:r>
    </w:p>
    <w:p>
      <w:pPr>
        <w:pBdr>
          <w:left w:val="single" w:color="B8860B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Ghaziabad — “Called 5 Aspirants – 2 Candidates confirmed they had not joined any Organization but shown as Placed is Cogito (346798 &amp; 348902)... Cogito Placement needs Physical visit by SM in next visit.”</w:t>
      </w:r>
    </w:p>
    <w:p>
      <w:pPr>
        <w:pBdr>
          <w:left w:val="single" w:color="B8860B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Bareilly — “Contacted 4 Aspirants – 1 Parent reverted and shared the candidate left job in 7 days (Anjalee)...”</w:t>
      </w:r>
    </w:p>
    <w:p>
      <w:pPr>
        <w:spacing w:after="160" w:line="276"/>
      </w:pPr>
      <w:r>
        <w:rPr>
          <w:sz w:val="21"/>
          <w:szCs w:val="21"/>
        </w:rPr>
        <w:t xml:space="preserve">Plus DOB/age-document mismatches at Dumdum, Kidwainagar, Alambagh, Lucknow-Indiranagar (all Amit Chakraborty) and Vadodara Citi (Gagandeep Singh Sachar). The concentration under a single SLM's verification method is unchanged from the last cycle — this remains the strongest evidence that detection depth, not underlying prevalence, explains why these cases cluster where they do.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Alumni retention/placement follow-up is still the weakest data-veracity control at 62.7% Need Improvement, though it has improved 4 points since the last refresh.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Aspirant Registration Forms and staff-attendance/geo-tag issues continue to appear at a similar rate to previous cycles — no material change.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4.2 Process Gaps</w:t>
      </w:r>
    </w:p>
    <w:p>
      <w:pPr>
        <w:spacing w:after="160" w:line="276"/>
      </w:pPr>
      <w:r>
        <w:rPr>
          <w:sz w:val="21"/>
          <w:szCs w:val="21"/>
        </w:rPr>
        <w:t xml:space="preserve">Process Check remains the weakest section (23.2%, down from 29.4%). The improvement is broad-based rather than concentrated in one item: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Weekly team meeting documentation improved slightly (54.9% vs. 61.5%) but is still the second-largest gap system-wide.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Employer Connect shows the largest improvement of any item this cycle (44.3% vs. 60.5% last refresh) — the push on employer-meeting cadence recommended previously appears to be taking hold, though it is still a top-3 gap.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CA diary review by AHs (41.2%) and Mock Interview tracker maintenance (34.8%) remain persistent, moderate-severity gaps.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The activity-planner delay check is the one area that got materially worse in relative ranking, newly entering the top 12 — worth a dedicated look next cycle to see if this is a real process slippage or an artifact of more SLMs starting to check this item consistently.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4.3 Batch Screening (where applicable)</w:t>
      </w:r>
    </w:p>
    <w:p>
      <w:pPr>
        <w:spacing w:after="160" w:line="276"/>
      </w:pPr>
      <w:r>
        <w:rPr>
          <w:sz w:val="21"/>
          <w:szCs w:val="21"/>
        </w:rPr>
        <w:t xml:space="preserve">Screening remains applicable mainly to technical/GROW-Tech programs, consistent with prior cycles.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Counselling and Screening Forms continue to show a high compliance rate, consistent with the ~93% seen previously.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Target-group enrolment issues (wrong age/education profile) persist at a similar low-to-moderate rate as before, still worth routine monitoring rather than urgent escalation.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4.4 Aspirant Interaction</w:t>
      </w:r>
    </w:p>
    <w:p>
      <w:pPr>
        <w:spacing w:after="160" w:line="276"/>
      </w:pPr>
      <w:r>
        <w:rPr>
          <w:sz w:val="21"/>
          <w:szCs w:val="21"/>
        </w:rPr>
        <w:t xml:space="preserve">Still the strongest section (7.0% Need Improvement, improved from 8.4%). Zero visits across all 73 have reported an aspirant being asked for money for training or placement — this clean result has now held across three consecutive data refreshes (41, 63, and 73 visits), which is a meaningful integrity signal in its own right.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LMS/Skillfy app enrolment and referral-scheme awareness remain the two softer, easily-closed gaps in this section, at rates broadly consistent with prior cycles.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4.5 Hostel Visit</w:t>
      </w:r>
    </w:p>
    <w:p>
      <w:pPr>
        <w:spacing w:after="160" w:line="276"/>
      </w:pPr>
      <w:r>
        <w:rPr>
          <w:sz w:val="21"/>
          <w:szCs w:val="21"/>
        </w:rPr>
        <w:t xml:space="preserve">Hostel-linked centres remain a minority of the total, so this focus area continues to have a small sample. Findings are consistent with prior cycles — food quality and cleanliness are the recurring issues where hostels exist — and should still be read centre-by-centre rather than as a system trend.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4.6 Employer Connect</w:t>
      </w:r>
    </w:p>
    <w:p>
      <w:pPr>
        <w:spacing w:after="160" w:line="276"/>
      </w:pPr>
      <w:r>
        <w:rPr>
          <w:sz w:val="21"/>
          <w:szCs w:val="21"/>
        </w:rPr>
        <w:t xml:space="preserve">This is the most improved focus area this cycle: 44.3% Need Improvement, down from 60.5% at the last refresh — a 16-point improvement. It remains a top-3 gap system-wide, so the improvement should be reinforced rather than treated as solved, but the direction is encouraging and suggests the SLM-level push (personally sharing employer leads, holding AHs to a weekly employer-meeting cadence) is working.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4.7 Centre Hand-holding</w:t>
      </w:r>
    </w:p>
    <w:p>
      <w:pPr>
        <w:spacing w:after="160" w:line="276"/>
      </w:pPr>
      <w:r>
        <w:rPr>
          <w:sz w:val="21"/>
          <w:szCs w:val="21"/>
        </w:rPr>
        <w:t xml:space="preserve">The hand-holding backbone (Alumni Hand-holding, weekly-meeting documentation, CA-diary mentoring, GROW Manual completion) shows a similar pattern to before, with modest improvement across the board: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Alumni Hand-holding remains the single weakest item system-wide (62.7%, improved from 66.7%).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GROW Manual Course completion gaps still concentrate in newly joined trainers/CAs and LMS technical issues — an L&amp;D/IT coordination item as before.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AH/CA hiring delays or resignations were explicitly flagged at 3 centres this cycle (a similar count to before) — continue to treat these as a trigger for a follow-up visit inside 2–3 weeks.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Insights on Second Level Managers</w:t>
      </w:r>
    </w:p>
    <w:p>
      <w:pPr>
        <w:spacing w:after="160" w:line="276"/>
      </w:pPr>
      <w:r>
        <w:rPr>
          <w:sz w:val="21"/>
          <w:szCs w:val="21"/>
        </w:rPr>
        <w:t xml:space="preserve">Updated visit volumes, Need Improvement / Not Applicable rates, and average free-text note length per SLM: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1900"/>
        <w:gridCol w:w="1600"/>
        <w:gridCol w:w="2550"/>
      </w:tblGrid>
      <w:tr>
        <w:trPr>
          <w:cantSplit/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SLM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Visits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Need Improvement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Not Applicable</w:t>
            </w:r>
          </w:p>
        </w:tc>
        <w:tc>
          <w:tcPr>
            <w:tcW w:type="dxa" w:w="2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Avg. words in notes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 Jakir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13.8%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12.5%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Phani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14.5%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20.9%</w:t>
            </w:r>
          </w:p>
        </w:tc>
        <w:tc>
          <w:tcPr>
            <w:tcW w:type="dxa" w:w="2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Barna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21.8%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21.7%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Amit Chakraborty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22.2%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19.2%</w:t>
            </w:r>
          </w:p>
        </w:tc>
        <w:tc>
          <w:tcPr>
            <w:tcW w:type="dxa" w:w="2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Gagandeep Singh Sachar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20.4%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131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Bhargav Challa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23.2%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20.7%</w:t>
            </w:r>
          </w:p>
        </w:tc>
        <w:tc>
          <w:tcPr>
            <w:tcW w:type="dxa" w:w="2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Mahaboob Basha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15.6%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12.9%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Raghavender Rao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9.1%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10.2%</w:t>
            </w:r>
          </w:p>
        </w:tc>
        <w:tc>
          <w:tcPr>
            <w:tcW w:type="dxa" w:w="2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Sanjay Kumar Tarai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32.1%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17.3%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388</w:t>
            </w:r>
          </w:p>
        </w:tc>
      </w:tr>
    </w:tbl>
    <w:p>
      <w:pPr>
        <w:spacing w:after="160" w:line="276"/>
      </w:pPr>
      <w:r>
        <w:rPr>
          <w:b/>
          <w:bCs/>
          <w:sz w:val="21"/>
          <w:szCs w:val="21"/>
        </w:rPr>
        <w:t xml:space="preserve">What's changed since the last refresh: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S Jakir has become the highest-volume SLM (15 visits, up from 2 originally) while maintaining a reasonably thorough note style (102 words average) and one of the lowest Need Improvement rates (13.8%) — currently the strongest combination of volume and depth in the group.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Phani has grown from 2 visits to 13 — now the second-highest volume — but note depth has not kept pace (17 words average, among the thinnest in the group). This is the clearest new reporting-quality concern this cycle: high volume with light documentation makes it hard to independently verify what's actually being checked at each centre.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Amit Chakraborty and Sanjay Kumar Tarai remain the two SLMs whose detailed, evidence-heavy notes (287 and 388 words respectively) are the ones actually surfacing hard findings — this pattern is unchanged and still supports rolling their verification method out more broadly.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Raghavender Rao's profile is unchanged in character (lowest Need Improvement rate, shortest notes, lowest NA usage) — still the profile most in need of an independent quality check on the visit itself rather than just the write-up.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  <w:sz w:val="21"/>
          <w:szCs w:val="21"/>
        </w:rPr>
        <w:t xml:space="preserve">Keep pushing the alumni-verification-call standard modelled on Amit Chakraborty's method — it remains the only reliable way this dataset has caught fabricated placements, and no other SLM's notes have surfaced an equivalent finding across three refreshes.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Reinforce the Employer Connect gains — the 16-point improvement this cycle is real, but 44.3% is still a top-3 gap; keep the weekly employer-meeting cadence and Top 20 Employer format review as a standing SLM checklist item rather than easing off.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Coach Phani specifically on note depth now that visit volume has scaled to 13 — the same structured template (issue / evidence / owner / date) recommended previously for the group should be applied here as a priority, given the volume-to-depth gap is now the widest of any SLM.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Investigate the new activity-planner delay flag (40.4%, 19 of 47 visits) next cycle to confirm whether this is a genuine process slippage or simply more consistent checking — either way it now warrants the same attention as the longer-standing top-12 items.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Continue treating AH/CA vacancy as a red-flag trigger for a follow-up visit inside 2–3 weeks — this pattern held again this cycle.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Keep Alumni Hand-holding as the top fix-first priority — still the single worst-performing control despite the improvement, and still the Foundation's main defence against inflated placement numbers.</w:t>
      </w: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Dr. Reddy's Foundation — Unannounced Centre Visit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2026-07-24T02:50:27.787Z</dcterms:created>
  <dcterms:modified xsi:type="dcterms:W3CDTF">2026-07-24T02:50:27.788Z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