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8"/>
          <w:szCs w:val="48"/>
        </w:rPr>
        <w:t xml:space="preserve">Unannounced Monthly Centre Visit</w:t>
      </w:r>
    </w:p>
    <w:p>
      <w:pPr>
        <w:spacing w:after="200"/>
        <w:jc w:val="center"/>
      </w:pPr>
      <w:r>
        <w:rPr>
          <w:b/>
          <w:bCs/>
          <w:color w:val="B8860B"/>
          <w:sz w:val="32"/>
          <w:szCs w:val="32"/>
        </w:rPr>
        <w:t xml:space="preserve">Second Level Manager Field Audit — Analysis &amp; Insights</w:t>
      </w:r>
    </w:p>
    <w:p>
      <w:pPr>
        <w:spacing w:after="40" w:before="400"/>
        <w:jc w:val="center"/>
      </w:pPr>
      <w:r>
        <w:rPr>
          <w:color w:val="595959"/>
          <w:sz w:val="22"/>
          <w:szCs w:val="22"/>
        </w:rPr>
        <w:t xml:space="preserve">Data source: Google Form responses, 1–23 July 2026 (updated dataset, 74 visits)</w:t>
      </w:r>
    </w:p>
    <w:p>
      <w:pPr>
        <w:spacing w:after="40"/>
        <w:jc w:val="center"/>
      </w:pPr>
      <w:r>
        <w:rPr>
          <w:color w:val="595959"/>
          <w:sz w:val="22"/>
          <w:szCs w:val="22"/>
        </w:rPr>
        <w:t xml:space="preserve">74 unannounced visits · 74 centres · 9 Second Level Managers</w:t>
      </w:r>
    </w:p>
    <w:p>
      <w:pPr>
        <w:spacing w:after="800"/>
        <w:jc w:val="center"/>
      </w:pPr>
      <w:r>
        <w:rPr>
          <w:color w:val="595959"/>
          <w:sz w:val="22"/>
          <w:szCs w:val="22"/>
        </w:rPr>
        <w:t xml:space="preserve">Prepared for: MIS, Dr. Reddy's Foundation</w:t>
      </w:r>
    </w:p>
    <w:p>
      <w:pPr>
        <w:pStyle w:val="Heading1"/>
        <w:pBdr>
          <w:bottom w:val="single" w:color="1F3864" w:sz="6" w:space="4"/>
        </w:pBdr>
        <w:spacing w:after="160" w:before="360"/>
      </w:pPr>
      <w:r>
        <w:rPr>
          <w:b/>
          <w:bCs/>
          <w:color w:val="1F3864"/>
          <w:sz w:val="30"/>
          <w:szCs w:val="30"/>
        </w:rPr>
        <w:t xml:space="preserve">1. Executive Summary</w:t>
      </w:r>
    </w:p>
    <w:p>
      <w:pPr>
        <w:spacing w:after="160" w:line="276"/>
      </w:pPr>
      <w:r>
        <w:rPr>
          <w:sz w:val="21"/>
          <w:szCs w:val="21"/>
        </w:rPr>
        <w:t xml:space="preserve">This update adds just one visit since the last refresh — 74 unannounced visits now on record between 1 and 23 July 2026 (up from 73, and 41 at first analysis) — the same nine Second Level Managers (SLMs), now covering 74 distinct centres. With only one new data point, this cycle is best read as confirmation that the picture from the last refresh is stable, not a new trend: every figure below moved by well under a percentage point.</w:t>
      </w:r>
    </w:p>
    <w:p>
      <w:pPr>
        <w:spacing w:after="160" w:line="276"/>
      </w:pPr>
      <w:r>
        <w:rPr>
          <w:sz w:val="21"/>
          <w:szCs w:val="21"/>
        </w:rPr>
        <w:t xml:space="preserve">Five headline findings this cycle:</w:t>
      </w:r>
    </w:p>
    <w:p>
      <w:pPr>
        <w:pStyle w:val="ListParagraph"/>
        <w:numPr>
          <w:ilvl w:val="0"/>
          <w:numId w:val="2"/>
        </w:numPr>
        <w:spacing w:after="90" w:line="270"/>
      </w:pPr>
      <w:r>
        <w:rPr>
          <w:sz w:val="21"/>
          <w:szCs w:val="21"/>
        </w:rPr>
        <w:t xml:space="preserve">Alumni Hand-holding is still the single weakest control — 42 of 68 applicable visits (61.8%) flagged “Need Improvement,” essentially flat versus 62.7% at the last refresh and still well below the 66.7% seen two refreshes ago.</w:t>
      </w:r>
    </w:p>
    <w:p>
      <w:pPr>
        <w:pStyle w:val="ListParagraph"/>
        <w:numPr>
          <w:ilvl w:val="0"/>
          <w:numId w:val="2"/>
        </w:numPr>
        <w:spacing w:after="90" w:line="270"/>
      </w:pPr>
      <w:r>
        <w:rPr>
          <w:sz w:val="21"/>
          <w:szCs w:val="21"/>
        </w:rPr>
        <w:t xml:space="preserve">Weekly team meeting documentation (54.2%) and Employer Connect (43.7%) remain the next-largest process gaps — both essentially unchanged from 54.9% and 44.3% last refresh, holding onto the earlier 16-point improvement in Employer Connect rather than slipping back.</w:t>
      </w:r>
    </w:p>
    <w:p>
      <w:pPr>
        <w:pStyle w:val="ListParagraph"/>
        <w:numPr>
          <w:ilvl w:val="0"/>
          <w:numId w:val="2"/>
        </w:numPr>
        <w:spacing w:after="90" w:line="270"/>
      </w:pPr>
      <w:r>
        <w:rPr>
          <w:b/>
          <w:bCs/>
          <w:sz w:val="21"/>
          <w:szCs w:val="21"/>
        </w:rPr>
        <w:t xml:space="preserve">No new data-veracity red flags in the additional visit — the ghost-placement and DOB/age-mismatch findings remain confined to the same six centres identified across the last two refreshes (five under Amit Chakraborty, one under Gagandeep Singh Sachar), now unchanged for three consecutive updates.</w:t>
      </w:r>
    </w:p>
    <w:p>
      <w:pPr>
        <w:pStyle w:val="ListParagraph"/>
        <w:numPr>
          <w:ilvl w:val="0"/>
          <w:numId w:val="2"/>
        </w:numPr>
        <w:spacing w:after="90" w:line="270"/>
      </w:pPr>
      <w:r>
        <w:rPr>
          <w:sz w:val="21"/>
          <w:szCs w:val="21"/>
        </w:rPr>
        <w:t xml:space="preserve">The activity-planner delay item flagged last cycle holds steady at 40.4% (19 of 47 applicable visits, unchanged) — still worth a dedicated look, but not worsening.</w:t>
      </w:r>
    </w:p>
    <w:p>
      <w:pPr>
        <w:pStyle w:val="ListParagraph"/>
        <w:numPr>
          <w:ilvl w:val="0"/>
          <w:numId w:val="2"/>
        </w:numPr>
        <w:spacing w:after="90" w:line="270"/>
      </w:pPr>
      <w:r>
        <w:rPr>
          <w:sz w:val="21"/>
          <w:szCs w:val="21"/>
        </w:rPr>
        <w:t xml:space="preserve">Phani's reporting-depth gap is unchanged: now at 14 visits (up 1) with notes still averaging just 16 words — the lightest documentation of any high-volume SLM, and still the clearest coaching priority flagged last cycle.</w:t>
      </w:r>
    </w:p>
    <w:p>
      <w:pPr>
        <w:spacing w:after="160" w:line="276"/>
      </w:pPr>
      <w:r>
        <w:rPr>
          <w:sz w:val="21"/>
          <w:szCs w:val="21"/>
        </w:rPr>
        <w:t xml:space="preserve">Aspirant Interaction remains the strongest section (6.9% Need Improvement), and zero visits across all 74 have reported an aspirant being asked for money for training or placement — the integrity signal from earlier cycles continues to hold at scale.</w:t>
      </w:r>
    </w:p>
    <w:p>
      <w:pPr>
        <w:pStyle w:val="Heading1"/>
        <w:pBdr>
          <w:bottom w:val="single" w:color="1F3864" w:sz="6" w:space="4"/>
        </w:pBdr>
        <w:spacing w:after="160" w:before="360"/>
      </w:pPr>
      <w:r>
        <w:rPr>
          <w:b/>
          <w:bCs/>
          <w:color w:val="1F3864"/>
          <w:sz w:val="30"/>
          <w:szCs w:val="30"/>
        </w:rPr>
        <w:t xml:space="preserve">2. Coverage Snapshot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400"/>
        <w:gridCol w:w="4100"/>
      </w:tblGrid>
      <w:tr>
        <w:trPr>
          <w:cantSplit/>
          <w:tblHeader/>
        </w:trPr>
        <w:tc>
          <w:tcPr>
            <w:tcW w:type="dxa" w:w="5400"/>
            <w:shd w:fill="1F3864" w:val="clear"/>
            <w:tcMar>
              <w:top w:type="dxa" w:w="60"/>
              <w:left w:type="dxa" w:w="100"/>
              <w:bottom w:type="dxa" w:w="60"/>
              <w:right w:type="dxa" w:w="100"/>
            </w:tcMar>
          </w:tcPr>
          <w:p>
            <w:pPr>
              <w:jc w:val="center"/>
            </w:pPr>
            <w:r>
              <w:rPr>
                <w:b/>
                <w:bCs/>
                <w:color w:val="FFFFFF"/>
                <w:sz w:val="19"/>
                <w:szCs w:val="19"/>
              </w:rPr>
              <w:t xml:space="preserve">Metric</w:t>
            </w:r>
          </w:p>
        </w:tc>
        <w:tc>
          <w:tcPr>
            <w:tcW w:type="dxa" w:w="4100"/>
            <w:shd w:fill="1F3864" w:val="clear"/>
            <w:tcMar>
              <w:top w:type="dxa" w:w="60"/>
              <w:left w:type="dxa" w:w="100"/>
              <w:bottom w:type="dxa" w:w="60"/>
              <w:right w:type="dxa" w:w="100"/>
            </w:tcMar>
          </w:tcPr>
          <w:p>
            <w:pPr>
              <w:jc w:val="center"/>
            </w:pPr>
            <w:r>
              <w:rPr>
                <w:b/>
                <w:bCs/>
                <w:color w:val="FFFFFF"/>
                <w:sz w:val="19"/>
                <w:szCs w:val="19"/>
              </w:rPr>
              <w:t xml:space="preserve">Value</w:t>
            </w:r>
          </w:p>
        </w:tc>
      </w:tr>
      <w:tr>
        <w:trPr>
          <w:cantSplit/>
        </w:trPr>
        <w:tc>
          <w:tcPr>
            <w:tcW w:type="dxa" w:w="5400"/>
            <w:tcMar>
              <w:top w:type="dxa" w:w="60"/>
              <w:left w:type="dxa" w:w="100"/>
              <w:bottom w:type="dxa" w:w="60"/>
              <w:right w:type="dxa" w:w="100"/>
            </w:tcMar>
          </w:tcPr>
          <w:p>
            <w:pPr>
              <w:jc w:val="left"/>
            </w:pPr>
            <w:r>
              <w:rPr>
                <w:b w:val="false"/>
                <w:bCs w:val="false"/>
                <w:color w:val="000000"/>
                <w:sz w:val="19"/>
                <w:szCs w:val="19"/>
              </w:rPr>
              <w:t xml:space="preserve">Total visit responses</w:t>
            </w:r>
          </w:p>
        </w:tc>
        <w:tc>
          <w:tcPr>
            <w:tcW w:type="dxa" w:w="4100"/>
            <w:tcMar>
              <w:top w:type="dxa" w:w="60"/>
              <w:left w:type="dxa" w:w="100"/>
              <w:bottom w:type="dxa" w:w="60"/>
              <w:right w:type="dxa" w:w="100"/>
            </w:tcMar>
          </w:tcPr>
          <w:p>
            <w:pPr>
              <w:jc w:val="center"/>
            </w:pPr>
            <w:r>
              <w:rPr>
                <w:b w:val="false"/>
                <w:bCs w:val="false"/>
                <w:color w:val="000000"/>
                <w:sz w:val="19"/>
                <w:szCs w:val="19"/>
              </w:rPr>
              <w:t xml:space="preserve">74 (up from 73 at last refresh, 63 before that, 41 at first analysis)</w:t>
            </w:r>
          </w:p>
        </w:tc>
      </w:tr>
      <w:tr>
        <w:trPr>
          <w:cantSplit/>
        </w:trPr>
        <w:tc>
          <w:tcPr>
            <w:tcW w:type="dxa" w:w="5400"/>
            <w:shd w:fill="F2F2F2" w:val="clear"/>
            <w:tcMar>
              <w:top w:type="dxa" w:w="60"/>
              <w:left w:type="dxa" w:w="100"/>
              <w:bottom w:type="dxa" w:w="60"/>
              <w:right w:type="dxa" w:w="100"/>
            </w:tcMar>
          </w:tcPr>
          <w:p>
            <w:pPr>
              <w:jc w:val="left"/>
            </w:pPr>
            <w:r>
              <w:rPr>
                <w:b w:val="false"/>
                <w:bCs w:val="false"/>
                <w:color w:val="000000"/>
                <w:sz w:val="19"/>
                <w:szCs w:val="19"/>
              </w:rPr>
              <w:t xml:space="preserve">Unique centres visited</w:t>
            </w:r>
          </w:p>
        </w:tc>
        <w:tc>
          <w:tcPr>
            <w:tcW w:type="dxa" w:w="4100"/>
            <w:shd w:fill="F2F2F2" w:val="clear"/>
            <w:tcMar>
              <w:top w:type="dxa" w:w="60"/>
              <w:left w:type="dxa" w:w="100"/>
              <w:bottom w:type="dxa" w:w="60"/>
              <w:right w:type="dxa" w:w="100"/>
            </w:tcMar>
          </w:tcPr>
          <w:p>
            <w:pPr>
              <w:jc w:val="center"/>
            </w:pPr>
            <w:r>
              <w:rPr>
                <w:b w:val="false"/>
                <w:bCs w:val="false"/>
                <w:color w:val="000000"/>
                <w:sz w:val="19"/>
                <w:szCs w:val="19"/>
              </w:rPr>
              <w:t xml:space="preserve">74 (no repeat visits in the period)</w:t>
            </w:r>
          </w:p>
        </w:tc>
      </w:tr>
      <w:tr>
        <w:trPr>
          <w:cantSplit/>
        </w:trPr>
        <w:tc>
          <w:tcPr>
            <w:tcW w:type="dxa" w:w="5400"/>
            <w:tcMar>
              <w:top w:type="dxa" w:w="60"/>
              <w:left w:type="dxa" w:w="100"/>
              <w:bottom w:type="dxa" w:w="60"/>
              <w:right w:type="dxa" w:w="100"/>
            </w:tcMar>
          </w:tcPr>
          <w:p>
            <w:pPr>
              <w:jc w:val="left"/>
            </w:pPr>
            <w:r>
              <w:rPr>
                <w:b w:val="false"/>
                <w:bCs w:val="false"/>
                <w:color w:val="000000"/>
                <w:sz w:val="19"/>
                <w:szCs w:val="19"/>
              </w:rPr>
              <w:t xml:space="preserve">Second Level Managers reporting</w:t>
            </w:r>
          </w:p>
        </w:tc>
        <w:tc>
          <w:tcPr>
            <w:tcW w:type="dxa" w:w="4100"/>
            <w:tcMar>
              <w:top w:type="dxa" w:w="60"/>
              <w:left w:type="dxa" w:w="100"/>
              <w:bottom w:type="dxa" w:w="60"/>
              <w:right w:type="dxa" w:w="100"/>
            </w:tcMar>
          </w:tcPr>
          <w:p>
            <w:pPr>
              <w:jc w:val="center"/>
            </w:pPr>
            <w:r>
              <w:rPr>
                <w:b w:val="false"/>
                <w:bCs w:val="false"/>
                <w:color w:val="000000"/>
                <w:sz w:val="19"/>
                <w:szCs w:val="19"/>
              </w:rPr>
              <w:t xml:space="preserve">9</w:t>
            </w:r>
          </w:p>
        </w:tc>
      </w:tr>
      <w:tr>
        <w:trPr>
          <w:cantSplit/>
        </w:trPr>
        <w:tc>
          <w:tcPr>
            <w:tcW w:type="dxa" w:w="5400"/>
            <w:shd w:fill="F2F2F2" w:val="clear"/>
            <w:tcMar>
              <w:top w:type="dxa" w:w="60"/>
              <w:left w:type="dxa" w:w="100"/>
              <w:bottom w:type="dxa" w:w="60"/>
              <w:right w:type="dxa" w:w="100"/>
            </w:tcMar>
          </w:tcPr>
          <w:p>
            <w:pPr>
              <w:jc w:val="left"/>
            </w:pPr>
            <w:r>
              <w:rPr>
                <w:b w:val="false"/>
                <w:bCs w:val="false"/>
                <w:color w:val="000000"/>
                <w:sz w:val="19"/>
                <w:szCs w:val="19"/>
              </w:rPr>
              <w:t xml:space="preserve">Date range covered</w:t>
            </w:r>
          </w:p>
        </w:tc>
        <w:tc>
          <w:tcPr>
            <w:tcW w:type="dxa" w:w="4100"/>
            <w:shd w:fill="F2F2F2" w:val="clear"/>
            <w:tcMar>
              <w:top w:type="dxa" w:w="60"/>
              <w:left w:type="dxa" w:w="100"/>
              <w:bottom w:type="dxa" w:w="60"/>
              <w:right w:type="dxa" w:w="100"/>
            </w:tcMar>
          </w:tcPr>
          <w:p>
            <w:pPr>
              <w:jc w:val="center"/>
            </w:pPr>
            <w:r>
              <w:rPr>
                <w:b w:val="false"/>
                <w:bCs w:val="false"/>
                <w:color w:val="000000"/>
                <w:sz w:val="19"/>
                <w:szCs w:val="19"/>
              </w:rPr>
              <w:t xml:space="preserve">1 Jul 2026 – 23 Jul 2026</w:t>
            </w:r>
          </w:p>
        </w:tc>
      </w:tr>
      <w:tr>
        <w:trPr>
          <w:cantSplit/>
        </w:trPr>
        <w:tc>
          <w:tcPr>
            <w:tcW w:type="dxa" w:w="5400"/>
            <w:tcMar>
              <w:top w:type="dxa" w:w="60"/>
              <w:left w:type="dxa" w:w="100"/>
              <w:bottom w:type="dxa" w:w="60"/>
              <w:right w:type="dxa" w:w="100"/>
            </w:tcMar>
          </w:tcPr>
          <w:p>
            <w:pPr>
              <w:jc w:val="left"/>
            </w:pPr>
            <w:r>
              <w:rPr>
                <w:b w:val="false"/>
                <w:bCs w:val="false"/>
                <w:color w:val="000000"/>
                <w:sz w:val="19"/>
                <w:szCs w:val="19"/>
              </w:rPr>
              <w:t xml:space="preserve">Checklist items per visit</w:t>
            </w:r>
          </w:p>
        </w:tc>
        <w:tc>
          <w:tcPr>
            <w:tcW w:type="dxa" w:w="4100"/>
            <w:tcMar>
              <w:top w:type="dxa" w:w="60"/>
              <w:left w:type="dxa" w:w="100"/>
              <w:bottom w:type="dxa" w:w="60"/>
              <w:right w:type="dxa" w:w="100"/>
            </w:tcMar>
          </w:tcPr>
          <w:p>
            <w:pPr>
              <w:jc w:val="center"/>
            </w:pPr>
            <w:r>
              <w:rPr>
                <w:b w:val="false"/>
                <w:bCs w:val="false"/>
                <w:color w:val="000000"/>
                <w:sz w:val="19"/>
                <w:szCs w:val="19"/>
              </w:rPr>
              <w:t xml:space="preserve">~50 items across 4 sections + 4 free-text action logs + 3 reflective questions</w:t>
            </w:r>
          </w:p>
        </w:tc>
      </w:tr>
      <w:tr>
        <w:trPr>
          <w:cantSplit/>
        </w:trPr>
        <w:tc>
          <w:tcPr>
            <w:tcW w:type="dxa" w:w="5400"/>
            <w:shd w:fill="F2F2F2" w:val="clear"/>
            <w:tcMar>
              <w:top w:type="dxa" w:w="60"/>
              <w:left w:type="dxa" w:w="100"/>
              <w:bottom w:type="dxa" w:w="60"/>
              <w:right w:type="dxa" w:w="100"/>
            </w:tcMar>
          </w:tcPr>
          <w:p>
            <w:pPr>
              <w:jc w:val="left"/>
            </w:pPr>
            <w:r>
              <w:rPr>
                <w:b w:val="false"/>
                <w:bCs w:val="false"/>
                <w:color w:val="000000"/>
                <w:sz w:val="19"/>
                <w:szCs w:val="19"/>
              </w:rPr>
              <w:t xml:space="preserve">Programs represented</w:t>
            </w:r>
          </w:p>
        </w:tc>
        <w:tc>
          <w:tcPr>
            <w:tcW w:type="dxa" w:w="4100"/>
            <w:shd w:fill="F2F2F2" w:val="clear"/>
            <w:tcMar>
              <w:top w:type="dxa" w:w="60"/>
              <w:left w:type="dxa" w:w="100"/>
              <w:bottom w:type="dxa" w:w="60"/>
              <w:right w:type="dxa" w:w="100"/>
            </w:tcMar>
          </w:tcPr>
          <w:p>
            <w:pPr>
              <w:jc w:val="center"/>
            </w:pPr>
            <w:r>
              <w:rPr>
                <w:b w:val="false"/>
                <w:bCs w:val="false"/>
                <w:color w:val="000000"/>
                <w:sz w:val="19"/>
                <w:szCs w:val="19"/>
              </w:rPr>
              <w:t xml:space="preserve">GROW Youth, HQHCS, CFRSI, Grow-Green-Solar, Accenture/CITI/JPM-partnered Youth batches, and others</w:t>
            </w:r>
          </w:p>
        </w:tc>
      </w:tr>
    </w:tbl>
    <w:p>
      <w:pPr>
        <w:pStyle w:val="Heading1"/>
        <w:pBdr>
          <w:bottom w:val="single" w:color="1F3864" w:sz="6" w:space="4"/>
        </w:pBdr>
        <w:spacing w:after="160" w:before="360"/>
      </w:pPr>
      <w:r>
        <w:rPr>
          <w:b/>
          <w:bCs/>
          <w:color w:val="1F3864"/>
          <w:sz w:val="30"/>
          <w:szCs w:val="30"/>
        </w:rPr>
        <w:t xml:space="preserve">3. Section-Wise Compliance Scorecard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600"/>
        <w:gridCol w:w="1550"/>
        <w:gridCol w:w="1900"/>
        <w:gridCol w:w="1550"/>
        <w:gridCol w:w="1900"/>
      </w:tblGrid>
      <w:tr>
        <w:trPr>
          <w:cantSplit/>
          <w:tblHeader/>
        </w:trPr>
        <w:tc>
          <w:tcPr>
            <w:tcW w:type="dxa" w:w="3600"/>
            <w:shd w:fill="1F3864" w:val="clear"/>
            <w:tcMar>
              <w:top w:type="dxa" w:w="60"/>
              <w:left w:type="dxa" w:w="100"/>
              <w:bottom w:type="dxa" w:w="60"/>
              <w:right w:type="dxa" w:w="100"/>
            </w:tcMar>
          </w:tcPr>
          <w:p>
            <w:pPr>
              <w:jc w:val="center"/>
            </w:pPr>
            <w:r>
              <w:rPr>
                <w:b/>
                <w:bCs/>
                <w:color w:val="FFFFFF"/>
                <w:sz w:val="19"/>
                <w:szCs w:val="19"/>
              </w:rPr>
              <w:t xml:space="preserve">Section</w:t>
            </w:r>
          </w:p>
        </w:tc>
        <w:tc>
          <w:tcPr>
            <w:tcW w:type="dxa" w:w="1550"/>
            <w:shd w:fill="1F3864" w:val="clear"/>
            <w:tcMar>
              <w:top w:type="dxa" w:w="60"/>
              <w:left w:type="dxa" w:w="100"/>
              <w:bottom w:type="dxa" w:w="60"/>
              <w:right w:type="dxa" w:w="100"/>
            </w:tcMar>
          </w:tcPr>
          <w:p>
            <w:pPr>
              <w:jc w:val="center"/>
            </w:pPr>
            <w:r>
              <w:rPr>
                <w:b/>
                <w:bCs/>
                <w:color w:val="FFFFFF"/>
                <w:sz w:val="19"/>
                <w:szCs w:val="19"/>
              </w:rPr>
              <w:t xml:space="preserve">All is Well</w:t>
            </w:r>
          </w:p>
        </w:tc>
        <w:tc>
          <w:tcPr>
            <w:tcW w:type="dxa" w:w="1900"/>
            <w:shd w:fill="1F3864" w:val="clear"/>
            <w:tcMar>
              <w:top w:type="dxa" w:w="60"/>
              <w:left w:type="dxa" w:w="100"/>
              <w:bottom w:type="dxa" w:w="60"/>
              <w:right w:type="dxa" w:w="100"/>
            </w:tcMar>
          </w:tcPr>
          <w:p>
            <w:pPr>
              <w:jc w:val="center"/>
            </w:pPr>
            <w:r>
              <w:rPr>
                <w:b/>
                <w:bCs/>
                <w:color w:val="FFFFFF"/>
                <w:sz w:val="19"/>
                <w:szCs w:val="19"/>
              </w:rPr>
              <w:t xml:space="preserve">Need Improvement</w:t>
            </w:r>
          </w:p>
        </w:tc>
        <w:tc>
          <w:tcPr>
            <w:tcW w:type="dxa" w:w="1550"/>
            <w:shd w:fill="1F3864" w:val="clear"/>
            <w:tcMar>
              <w:top w:type="dxa" w:w="60"/>
              <w:left w:type="dxa" w:w="100"/>
              <w:bottom w:type="dxa" w:w="60"/>
              <w:right w:type="dxa" w:w="100"/>
            </w:tcMar>
          </w:tcPr>
          <w:p>
            <w:pPr>
              <w:jc w:val="center"/>
            </w:pPr>
            <w:r>
              <w:rPr>
                <w:b/>
                <w:bCs/>
                <w:color w:val="FFFFFF"/>
                <w:sz w:val="19"/>
                <w:szCs w:val="19"/>
              </w:rPr>
              <w:t xml:space="preserve">Not Applicable</w:t>
            </w:r>
          </w:p>
        </w:tc>
        <w:tc>
          <w:tcPr>
            <w:tcW w:type="dxa" w:w="1900"/>
            <w:shd w:fill="1F3864" w:val="clear"/>
            <w:tcMar>
              <w:top w:type="dxa" w:w="60"/>
              <w:left w:type="dxa" w:w="100"/>
              <w:bottom w:type="dxa" w:w="60"/>
              <w:right w:type="dxa" w:w="100"/>
            </w:tcMar>
          </w:tcPr>
          <w:p>
            <w:pPr>
              <w:jc w:val="center"/>
            </w:pPr>
            <w:r>
              <w:rPr>
                <w:b/>
                <w:bCs/>
                <w:color w:val="FFFFFF"/>
                <w:sz w:val="19"/>
                <w:szCs w:val="19"/>
              </w:rPr>
              <w:t xml:space="preserve">% Need Improvement</w:t>
            </w:r>
          </w:p>
        </w:tc>
      </w:tr>
      <w:tr>
        <w:trPr>
          <w:cantSplit/>
        </w:trPr>
        <w:tc>
          <w:tcPr>
            <w:tcW w:type="dxa" w:w="3600"/>
            <w:tcMar>
              <w:top w:type="dxa" w:w="60"/>
              <w:left w:type="dxa" w:w="100"/>
              <w:bottom w:type="dxa" w:w="60"/>
              <w:right w:type="dxa" w:w="100"/>
            </w:tcMar>
          </w:tcPr>
          <w:p>
            <w:pPr>
              <w:jc w:val="left"/>
            </w:pPr>
            <w:r>
              <w:rPr>
                <w:b w:val="false"/>
                <w:bCs w:val="false"/>
                <w:color w:val="000000"/>
                <w:sz w:val="19"/>
                <w:szCs w:val="19"/>
              </w:rPr>
              <w:t xml:space="preserve">Data Check (veracity &amp; records)</w:t>
            </w:r>
          </w:p>
        </w:tc>
        <w:tc>
          <w:tcPr>
            <w:tcW w:type="dxa" w:w="1550"/>
            <w:tcMar>
              <w:top w:type="dxa" w:w="60"/>
              <w:left w:type="dxa" w:w="100"/>
              <w:bottom w:type="dxa" w:w="60"/>
              <w:right w:type="dxa" w:w="100"/>
            </w:tcMar>
          </w:tcPr>
          <w:p>
            <w:pPr>
              <w:jc w:val="center"/>
            </w:pPr>
            <w:r>
              <w:rPr>
                <w:b w:val="false"/>
                <w:bCs w:val="false"/>
                <w:color w:val="000000"/>
                <w:sz w:val="19"/>
                <w:szCs w:val="19"/>
              </w:rPr>
              <w:t xml:space="preserve">414</w:t>
            </w:r>
          </w:p>
        </w:tc>
        <w:tc>
          <w:tcPr>
            <w:tcW w:type="dxa" w:w="1900"/>
            <w:tcMar>
              <w:top w:type="dxa" w:w="60"/>
              <w:left w:type="dxa" w:w="100"/>
              <w:bottom w:type="dxa" w:w="60"/>
              <w:right w:type="dxa" w:w="100"/>
            </w:tcMar>
          </w:tcPr>
          <w:p>
            <w:pPr>
              <w:jc w:val="center"/>
            </w:pPr>
            <w:r>
              <w:rPr>
                <w:b w:val="false"/>
                <w:bCs w:val="false"/>
                <w:color w:val="000000"/>
                <w:sz w:val="19"/>
                <w:szCs w:val="19"/>
              </w:rPr>
              <w:t xml:space="preserve">100</w:t>
            </w:r>
          </w:p>
        </w:tc>
        <w:tc>
          <w:tcPr>
            <w:tcW w:type="dxa" w:w="1550"/>
            <w:tcMar>
              <w:top w:type="dxa" w:w="60"/>
              <w:left w:type="dxa" w:w="100"/>
              <w:bottom w:type="dxa" w:w="60"/>
              <w:right w:type="dxa" w:w="100"/>
            </w:tcMar>
          </w:tcPr>
          <w:p>
            <w:pPr>
              <w:jc w:val="center"/>
            </w:pPr>
            <w:r>
              <w:rPr>
                <w:b w:val="false"/>
                <w:bCs w:val="false"/>
                <w:color w:val="000000"/>
                <w:sz w:val="19"/>
                <w:szCs w:val="19"/>
              </w:rPr>
              <w:t xml:space="preserve">78</w:t>
            </w:r>
          </w:p>
        </w:tc>
        <w:tc>
          <w:tcPr>
            <w:tcW w:type="dxa" w:w="1900"/>
            <w:tcMar>
              <w:top w:type="dxa" w:w="60"/>
              <w:left w:type="dxa" w:w="100"/>
              <w:bottom w:type="dxa" w:w="60"/>
              <w:right w:type="dxa" w:w="100"/>
            </w:tcMar>
          </w:tcPr>
          <w:p>
            <w:pPr>
              <w:jc w:val="center"/>
            </w:pPr>
            <w:r>
              <w:rPr>
                <w:b w:val="false"/>
                <w:bCs w:val="false"/>
                <w:color w:val="000000"/>
                <w:sz w:val="19"/>
                <w:szCs w:val="19"/>
              </w:rPr>
              <w:t xml:space="preserve">19.5%</w:t>
            </w:r>
          </w:p>
        </w:tc>
      </w:tr>
      <w:tr>
        <w:trPr>
          <w:cantSplit/>
        </w:trPr>
        <w:tc>
          <w:tcPr>
            <w:tcW w:type="dxa" w:w="3600"/>
            <w:shd w:fill="F2F2F2" w:val="clear"/>
            <w:tcMar>
              <w:top w:type="dxa" w:w="60"/>
              <w:left w:type="dxa" w:w="100"/>
              <w:bottom w:type="dxa" w:w="60"/>
              <w:right w:type="dxa" w:w="100"/>
            </w:tcMar>
          </w:tcPr>
          <w:p>
            <w:pPr>
              <w:jc w:val="left"/>
            </w:pPr>
            <w:r>
              <w:rPr>
                <w:b w:val="false"/>
                <w:bCs w:val="false"/>
                <w:color w:val="000000"/>
                <w:sz w:val="19"/>
                <w:szCs w:val="19"/>
              </w:rPr>
              <w:t xml:space="preserve">Infra Check</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411</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109</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72</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21.0%</w:t>
            </w:r>
          </w:p>
        </w:tc>
      </w:tr>
      <w:tr>
        <w:trPr>
          <w:cantSplit/>
        </w:trPr>
        <w:tc>
          <w:tcPr>
            <w:tcW w:type="dxa" w:w="3600"/>
            <w:tcMar>
              <w:top w:type="dxa" w:w="60"/>
              <w:left w:type="dxa" w:w="100"/>
              <w:bottom w:type="dxa" w:w="60"/>
              <w:right w:type="dxa" w:w="100"/>
            </w:tcMar>
          </w:tcPr>
          <w:p>
            <w:pPr>
              <w:jc w:val="left"/>
            </w:pPr>
            <w:r>
              <w:rPr>
                <w:b w:val="false"/>
                <w:bCs w:val="false"/>
                <w:color w:val="000000"/>
                <w:sz w:val="19"/>
                <w:szCs w:val="19"/>
              </w:rPr>
              <w:t xml:space="preserve">Process Check</w:t>
            </w:r>
          </w:p>
        </w:tc>
        <w:tc>
          <w:tcPr>
            <w:tcW w:type="dxa" w:w="1550"/>
            <w:tcMar>
              <w:top w:type="dxa" w:w="60"/>
              <w:left w:type="dxa" w:w="100"/>
              <w:bottom w:type="dxa" w:w="60"/>
              <w:right w:type="dxa" w:w="100"/>
            </w:tcMar>
          </w:tcPr>
          <w:p>
            <w:pPr>
              <w:jc w:val="center"/>
            </w:pPr>
            <w:r>
              <w:rPr>
                <w:b w:val="false"/>
                <w:bCs w:val="false"/>
                <w:color w:val="000000"/>
                <w:sz w:val="19"/>
                <w:szCs w:val="19"/>
              </w:rPr>
              <w:t xml:space="preserve">956</w:t>
            </w:r>
          </w:p>
        </w:tc>
        <w:tc>
          <w:tcPr>
            <w:tcW w:type="dxa" w:w="1900"/>
            <w:tcMar>
              <w:top w:type="dxa" w:w="60"/>
              <w:left w:type="dxa" w:w="100"/>
              <w:bottom w:type="dxa" w:w="60"/>
              <w:right w:type="dxa" w:w="100"/>
            </w:tcMar>
          </w:tcPr>
          <w:p>
            <w:pPr>
              <w:jc w:val="center"/>
            </w:pPr>
            <w:r>
              <w:rPr>
                <w:b w:val="false"/>
                <w:bCs w:val="false"/>
                <w:color w:val="000000"/>
                <w:sz w:val="19"/>
                <w:szCs w:val="19"/>
              </w:rPr>
              <w:t xml:space="preserve">283</w:t>
            </w:r>
          </w:p>
        </w:tc>
        <w:tc>
          <w:tcPr>
            <w:tcW w:type="dxa" w:w="1550"/>
            <w:tcMar>
              <w:top w:type="dxa" w:w="60"/>
              <w:left w:type="dxa" w:w="100"/>
              <w:bottom w:type="dxa" w:w="60"/>
              <w:right w:type="dxa" w:w="100"/>
            </w:tcMar>
          </w:tcPr>
          <w:p>
            <w:pPr>
              <w:jc w:val="center"/>
            </w:pPr>
            <w:r>
              <w:rPr>
                <w:b w:val="false"/>
                <w:bCs w:val="false"/>
                <w:color w:val="000000"/>
                <w:sz w:val="19"/>
                <w:szCs w:val="19"/>
              </w:rPr>
              <w:t xml:space="preserve">389</w:t>
            </w:r>
          </w:p>
        </w:tc>
        <w:tc>
          <w:tcPr>
            <w:tcW w:type="dxa" w:w="1900"/>
            <w:tcMar>
              <w:top w:type="dxa" w:w="60"/>
              <w:left w:type="dxa" w:w="100"/>
              <w:bottom w:type="dxa" w:w="60"/>
              <w:right w:type="dxa" w:w="100"/>
            </w:tcMar>
          </w:tcPr>
          <w:p>
            <w:pPr>
              <w:jc w:val="center"/>
            </w:pPr>
            <w:r>
              <w:rPr>
                <w:b w:val="false"/>
                <w:bCs w:val="false"/>
                <w:color w:val="000000"/>
                <w:sz w:val="19"/>
                <w:szCs w:val="19"/>
              </w:rPr>
              <w:t xml:space="preserve">22.8%</w:t>
            </w:r>
          </w:p>
        </w:tc>
      </w:tr>
      <w:tr>
        <w:trPr>
          <w:cantSplit/>
        </w:trPr>
        <w:tc>
          <w:tcPr>
            <w:tcW w:type="dxa" w:w="3600"/>
            <w:shd w:fill="F2F2F2" w:val="clear"/>
            <w:tcMar>
              <w:top w:type="dxa" w:w="60"/>
              <w:left w:type="dxa" w:w="100"/>
              <w:bottom w:type="dxa" w:w="60"/>
              <w:right w:type="dxa" w:w="100"/>
            </w:tcMar>
          </w:tcPr>
          <w:p>
            <w:pPr>
              <w:jc w:val="left"/>
            </w:pPr>
            <w:r>
              <w:rPr>
                <w:b w:val="false"/>
                <w:bCs w:val="false"/>
                <w:color w:val="000000"/>
                <w:sz w:val="19"/>
                <w:szCs w:val="19"/>
              </w:rPr>
              <w:t xml:space="preserve">Aspirant Interaction</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648</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48</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118</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6.9%</w:t>
            </w:r>
          </w:p>
        </w:tc>
      </w:tr>
    </w:tbl>
    <w:p>
      <w:pPr>
        <w:spacing w:after="160" w:line="276"/>
      </w:pPr>
      <w:r>
        <w:rPr>
          <w:sz w:val="21"/>
          <w:szCs w:val="21"/>
        </w:rPr>
        <w:t xml:space="preserve">All four sections are essentially flat versus the last refresh (Process Check 22.8% vs. 23.2%; Data Check 19.5% vs. 19.7%; Infra Check 21.0% vs. 20.7%; Aspirant Interaction 6.9% vs. 7.0%) — a single additional visit, as expected, doesn't move the picture. Process Check remains the weakest section by a clear margin.</w:t>
      </w:r>
    </w:p>
    <w:p>
      <w:pPr>
        <w:pStyle w:val="Heading2"/>
        <w:spacing w:after="120" w:before="280"/>
      </w:pPr>
      <w:r>
        <w:rPr>
          <w:b/>
          <w:bCs/>
          <w:color w:val="B8860B"/>
          <w:sz w:val="24"/>
          <w:szCs w:val="24"/>
        </w:rPr>
        <w:t xml:space="preserve">3.1 The 12 Weakest Checklist Items</w:t>
      </w:r>
    </w:p>
    <w:p>
      <w:pPr>
        <w:spacing w:after="160" w:line="276"/>
      </w:pPr>
      <w:r>
        <w:rPr>
          <w:sz w:val="21"/>
          <w:szCs w:val="21"/>
        </w:rPr>
        <w:t xml:space="preserve">Ranked by count of “Need Improvement” flags among applicable visits (n = applicable visits).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1400"/>
        <w:gridCol w:w="1300"/>
      </w:tblGrid>
      <w:tr>
        <w:trPr>
          <w:cantSplit/>
          <w:tblHeader/>
        </w:trPr>
        <w:tc>
          <w:tcPr>
            <w:tcW w:type="dxa" w:w="5200"/>
            <w:shd w:fill="1F3864" w:val="clear"/>
            <w:tcMar>
              <w:top w:type="dxa" w:w="60"/>
              <w:left w:type="dxa" w:w="100"/>
              <w:bottom w:type="dxa" w:w="60"/>
              <w:right w:type="dxa" w:w="100"/>
            </w:tcMar>
          </w:tcPr>
          <w:p>
            <w:pPr>
              <w:jc w:val="center"/>
            </w:pPr>
            <w:r>
              <w:rPr>
                <w:b/>
                <w:bCs/>
                <w:color w:val="FFFFFF"/>
                <w:sz w:val="19"/>
                <w:szCs w:val="19"/>
              </w:rPr>
              <w:t xml:space="preserve">Checklist Item</w:t>
            </w:r>
          </w:p>
        </w:tc>
        <w:tc>
          <w:tcPr>
            <w:tcW w:type="dxa" w:w="1600"/>
            <w:shd w:fill="1F3864" w:val="clear"/>
            <w:tcMar>
              <w:top w:type="dxa" w:w="60"/>
              <w:left w:type="dxa" w:w="100"/>
              <w:bottom w:type="dxa" w:w="60"/>
              <w:right w:type="dxa" w:w="100"/>
            </w:tcMar>
          </w:tcPr>
          <w:p>
            <w:pPr>
              <w:jc w:val="center"/>
            </w:pPr>
            <w:r>
              <w:rPr>
                <w:b/>
                <w:bCs/>
                <w:color w:val="FFFFFF"/>
                <w:sz w:val="19"/>
                <w:szCs w:val="19"/>
              </w:rPr>
              <w:t xml:space="preserve">Section</w:t>
            </w:r>
          </w:p>
        </w:tc>
        <w:tc>
          <w:tcPr>
            <w:tcW w:type="dxa" w:w="1400"/>
            <w:shd w:fill="1F3864" w:val="clear"/>
            <w:tcMar>
              <w:top w:type="dxa" w:w="60"/>
              <w:left w:type="dxa" w:w="100"/>
              <w:bottom w:type="dxa" w:w="60"/>
              <w:right w:type="dxa" w:w="100"/>
            </w:tcMar>
          </w:tcPr>
          <w:p>
            <w:pPr>
              <w:jc w:val="center"/>
            </w:pPr>
            <w:r>
              <w:rPr>
                <w:b/>
                <w:bCs/>
                <w:color w:val="FFFFFF"/>
                <w:sz w:val="19"/>
                <w:szCs w:val="19"/>
              </w:rPr>
              <w:t xml:space="preserve">NI / n</w:t>
            </w:r>
          </w:p>
        </w:tc>
        <w:tc>
          <w:tcPr>
            <w:tcW w:type="dxa" w:w="1300"/>
            <w:shd w:fill="1F3864" w:val="clear"/>
            <w:tcMar>
              <w:top w:type="dxa" w:w="60"/>
              <w:left w:type="dxa" w:w="100"/>
              <w:bottom w:type="dxa" w:w="60"/>
              <w:right w:type="dxa" w:w="100"/>
            </w:tcMar>
          </w:tcPr>
          <w:p>
            <w:pPr>
              <w:jc w:val="center"/>
            </w:pPr>
            <w:r>
              <w:rPr>
                <w:b/>
                <w:bCs/>
                <w:color w:val="FFFFFF"/>
                <w:sz w:val="19"/>
                <w:szCs w:val="19"/>
              </w:rPr>
              <w:t xml:space="preserve">% NI</w:t>
            </w:r>
          </w:p>
        </w:tc>
      </w:tr>
      <w:tr>
        <w:trPr>
          <w:cantSplit/>
        </w:trPr>
        <w:tc>
          <w:tcPr>
            <w:tcW w:type="dxa" w:w="5200"/>
            <w:tcMar>
              <w:top w:type="dxa" w:w="60"/>
              <w:left w:type="dxa" w:w="100"/>
              <w:bottom w:type="dxa" w:w="60"/>
              <w:right w:type="dxa" w:w="100"/>
            </w:tcMar>
          </w:tcPr>
          <w:p>
            <w:pPr>
              <w:jc w:val="left"/>
            </w:pPr>
            <w:r>
              <w:rPr>
                <w:b w:val="false"/>
                <w:bCs w:val="false"/>
                <w:color w:val="000000"/>
                <w:sz w:val="19"/>
                <w:szCs w:val="19"/>
              </w:rPr>
              <w:t xml:space="preserve">Verify retention — Alumni Hand-holding Format updated as designed</w:t>
            </w:r>
          </w:p>
        </w:tc>
        <w:tc>
          <w:tcPr>
            <w:tcW w:type="dxa" w:w="1600"/>
            <w:tcMar>
              <w:top w:type="dxa" w:w="60"/>
              <w:left w:type="dxa" w:w="100"/>
              <w:bottom w:type="dxa" w:w="60"/>
              <w:right w:type="dxa" w:w="100"/>
            </w:tcMar>
          </w:tcPr>
          <w:p>
            <w:pPr>
              <w:jc w:val="center"/>
            </w:pPr>
            <w:r>
              <w:rPr>
                <w:b w:val="false"/>
                <w:bCs w:val="false"/>
                <w:color w:val="000000"/>
                <w:sz w:val="19"/>
                <w:szCs w:val="19"/>
              </w:rPr>
              <w:t xml:space="preserve">Data Check</w:t>
            </w:r>
          </w:p>
        </w:tc>
        <w:tc>
          <w:tcPr>
            <w:tcW w:type="dxa" w:w="1400"/>
            <w:tcMar>
              <w:top w:type="dxa" w:w="60"/>
              <w:left w:type="dxa" w:w="100"/>
              <w:bottom w:type="dxa" w:w="60"/>
              <w:right w:type="dxa" w:w="100"/>
            </w:tcMar>
          </w:tcPr>
          <w:p>
            <w:pPr>
              <w:jc w:val="center"/>
            </w:pPr>
            <w:r>
              <w:rPr>
                <w:b w:val="false"/>
                <w:bCs w:val="false"/>
                <w:color w:val="000000"/>
                <w:sz w:val="19"/>
                <w:szCs w:val="19"/>
              </w:rPr>
              <w:t xml:space="preserve">42 / 68</w:t>
            </w:r>
          </w:p>
        </w:tc>
        <w:tc>
          <w:tcPr>
            <w:tcW w:type="dxa" w:w="1300"/>
            <w:tcMar>
              <w:top w:type="dxa" w:w="60"/>
              <w:left w:type="dxa" w:w="100"/>
              <w:bottom w:type="dxa" w:w="60"/>
              <w:right w:type="dxa" w:w="100"/>
            </w:tcMar>
          </w:tcPr>
          <w:p>
            <w:pPr>
              <w:jc w:val="center"/>
            </w:pPr>
            <w:r>
              <w:rPr>
                <w:b w:val="false"/>
                <w:bCs w:val="false"/>
                <w:color w:val="000000"/>
                <w:sz w:val="19"/>
                <w:szCs w:val="19"/>
              </w:rPr>
              <w:t xml:space="preserve">61.8%</w:t>
            </w:r>
          </w:p>
        </w:tc>
      </w:tr>
      <w:tr>
        <w:trPr>
          <w:cantSplit/>
        </w:trPr>
        <w:tc>
          <w:tcPr>
            <w:tcW w:type="dxa" w:w="5200"/>
            <w:shd w:fill="F2F2F2" w:val="clear"/>
            <w:tcMar>
              <w:top w:type="dxa" w:w="60"/>
              <w:left w:type="dxa" w:w="100"/>
              <w:bottom w:type="dxa" w:w="60"/>
              <w:right w:type="dxa" w:w="100"/>
            </w:tcMar>
          </w:tcPr>
          <w:p>
            <w:pPr>
              <w:jc w:val="left"/>
            </w:pPr>
            <w:r>
              <w:rPr>
                <w:b w:val="false"/>
                <w:bCs w:val="false"/>
                <w:color w:val="000000"/>
                <w:sz w:val="19"/>
                <w:szCs w:val="19"/>
              </w:rPr>
              <w:t xml:space="preserve">AH holds a quality weekly team meeting with documented action points</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shd w:fill="F2F2F2" w:val="clear"/>
            <w:tcMar>
              <w:top w:type="dxa" w:w="60"/>
              <w:left w:type="dxa" w:w="100"/>
              <w:bottom w:type="dxa" w:w="60"/>
              <w:right w:type="dxa" w:w="100"/>
            </w:tcMar>
          </w:tcPr>
          <w:p>
            <w:pPr>
              <w:jc w:val="center"/>
            </w:pPr>
            <w:r>
              <w:rPr>
                <w:b w:val="false"/>
                <w:bCs w:val="false"/>
                <w:color w:val="000000"/>
                <w:sz w:val="19"/>
                <w:szCs w:val="19"/>
              </w:rPr>
              <w:t xml:space="preserve">39 / 72</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54.2%</w:t>
            </w:r>
          </w:p>
        </w:tc>
      </w:tr>
      <w:tr>
        <w:trPr>
          <w:cantSplit/>
        </w:trPr>
        <w:tc>
          <w:tcPr>
            <w:tcW w:type="dxa" w:w="5200"/>
            <w:tcMar>
              <w:top w:type="dxa" w:w="60"/>
              <w:left w:type="dxa" w:w="100"/>
              <w:bottom w:type="dxa" w:w="60"/>
              <w:right w:type="dxa" w:w="100"/>
            </w:tcMar>
          </w:tcPr>
          <w:p>
            <w:pPr>
              <w:jc w:val="left"/>
            </w:pPr>
            <w:r>
              <w:rPr>
                <w:b w:val="false"/>
                <w:bCs w:val="false"/>
                <w:color w:val="000000"/>
                <w:sz w:val="19"/>
                <w:szCs w:val="19"/>
              </w:rPr>
              <w:t xml:space="preserve">AH regularly meets employers &amp; updates Top 20 Employer format</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tcMar>
              <w:top w:type="dxa" w:w="60"/>
              <w:left w:type="dxa" w:w="100"/>
              <w:bottom w:type="dxa" w:w="60"/>
              <w:right w:type="dxa" w:w="100"/>
            </w:tcMar>
          </w:tcPr>
          <w:p>
            <w:pPr>
              <w:jc w:val="center"/>
            </w:pPr>
            <w:r>
              <w:rPr>
                <w:b w:val="false"/>
                <w:bCs w:val="false"/>
                <w:color w:val="000000"/>
                <w:sz w:val="19"/>
                <w:szCs w:val="19"/>
              </w:rPr>
              <w:t xml:space="preserve">31 / 71</w:t>
            </w:r>
          </w:p>
        </w:tc>
        <w:tc>
          <w:tcPr>
            <w:tcW w:type="dxa" w:w="1300"/>
            <w:tcMar>
              <w:top w:type="dxa" w:w="60"/>
              <w:left w:type="dxa" w:w="100"/>
              <w:bottom w:type="dxa" w:w="60"/>
              <w:right w:type="dxa" w:w="100"/>
            </w:tcMar>
          </w:tcPr>
          <w:p>
            <w:pPr>
              <w:jc w:val="center"/>
            </w:pPr>
            <w:r>
              <w:rPr>
                <w:b w:val="false"/>
                <w:bCs w:val="false"/>
                <w:color w:val="000000"/>
                <w:sz w:val="19"/>
                <w:szCs w:val="19"/>
              </w:rPr>
              <w:t xml:space="preserve">43.7%</w:t>
            </w:r>
          </w:p>
        </w:tc>
      </w:tr>
      <w:tr>
        <w:trPr>
          <w:cantSplit/>
        </w:trPr>
        <w:tc>
          <w:tcPr>
            <w:tcW w:type="dxa" w:w="5200"/>
            <w:shd w:fill="F2F2F2" w:val="clear"/>
            <w:tcMar>
              <w:top w:type="dxa" w:w="60"/>
              <w:left w:type="dxa" w:w="100"/>
              <w:bottom w:type="dxa" w:w="60"/>
              <w:right w:type="dxa" w:w="100"/>
            </w:tcMar>
          </w:tcPr>
          <w:p>
            <w:pPr>
              <w:jc w:val="left"/>
            </w:pPr>
            <w:r>
              <w:rPr>
                <w:b w:val="false"/>
                <w:bCs w:val="false"/>
                <w:color w:val="000000"/>
                <w:sz w:val="19"/>
                <w:szCs w:val="19"/>
              </w:rPr>
              <w:t xml:space="preserve">Any pending infra repairs</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Infra Check</w:t>
            </w:r>
          </w:p>
        </w:tc>
        <w:tc>
          <w:tcPr>
            <w:tcW w:type="dxa" w:w="1400"/>
            <w:shd w:fill="F2F2F2" w:val="clear"/>
            <w:tcMar>
              <w:top w:type="dxa" w:w="60"/>
              <w:left w:type="dxa" w:w="100"/>
              <w:bottom w:type="dxa" w:w="60"/>
              <w:right w:type="dxa" w:w="100"/>
            </w:tcMar>
          </w:tcPr>
          <w:p>
            <w:pPr>
              <w:jc w:val="center"/>
            </w:pPr>
            <w:r>
              <w:rPr>
                <w:b w:val="false"/>
                <w:bCs w:val="false"/>
                <w:color w:val="000000"/>
                <w:sz w:val="19"/>
                <w:szCs w:val="19"/>
              </w:rPr>
              <w:t xml:space="preserve">29 / 74</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39.2%</w:t>
            </w:r>
          </w:p>
        </w:tc>
      </w:tr>
      <w:tr>
        <w:trPr>
          <w:cantSplit/>
        </w:trPr>
        <w:tc>
          <w:tcPr>
            <w:tcW w:type="dxa" w:w="5200"/>
            <w:tcMar>
              <w:top w:type="dxa" w:w="60"/>
              <w:left w:type="dxa" w:w="100"/>
              <w:bottom w:type="dxa" w:w="60"/>
              <w:right w:type="dxa" w:w="100"/>
            </w:tcMar>
          </w:tcPr>
          <w:p>
            <w:pPr>
              <w:jc w:val="left"/>
            </w:pPr>
            <w:r>
              <w:rPr>
                <w:b w:val="false"/>
                <w:bCs w:val="false"/>
                <w:color w:val="000000"/>
                <w:sz w:val="19"/>
                <w:szCs w:val="19"/>
              </w:rPr>
              <w:t xml:space="preserve">CA’s diary — guided daily by AH during planning days</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tcMar>
              <w:top w:type="dxa" w:w="60"/>
              <w:left w:type="dxa" w:w="100"/>
              <w:bottom w:type="dxa" w:w="60"/>
              <w:right w:type="dxa" w:w="100"/>
            </w:tcMar>
          </w:tcPr>
          <w:p>
            <w:pPr>
              <w:jc w:val="center"/>
            </w:pPr>
            <w:r>
              <w:rPr>
                <w:b w:val="false"/>
                <w:bCs w:val="false"/>
                <w:color w:val="000000"/>
                <w:sz w:val="19"/>
                <w:szCs w:val="19"/>
              </w:rPr>
              <w:t xml:space="preserve">28 / 69</w:t>
            </w:r>
          </w:p>
        </w:tc>
        <w:tc>
          <w:tcPr>
            <w:tcW w:type="dxa" w:w="1300"/>
            <w:tcMar>
              <w:top w:type="dxa" w:w="60"/>
              <w:left w:type="dxa" w:w="100"/>
              <w:bottom w:type="dxa" w:w="60"/>
              <w:right w:type="dxa" w:w="100"/>
            </w:tcMar>
          </w:tcPr>
          <w:p>
            <w:pPr>
              <w:jc w:val="center"/>
            </w:pPr>
            <w:r>
              <w:rPr>
                <w:b w:val="false"/>
                <w:bCs w:val="false"/>
                <w:color w:val="000000"/>
                <w:sz w:val="19"/>
                <w:szCs w:val="19"/>
              </w:rPr>
              <w:t xml:space="preserve">40.6%</w:t>
            </w:r>
          </w:p>
        </w:tc>
      </w:tr>
      <w:tr>
        <w:trPr>
          <w:cantSplit/>
        </w:trPr>
        <w:tc>
          <w:tcPr>
            <w:tcW w:type="dxa" w:w="5200"/>
            <w:shd w:fill="F2F2F2" w:val="clear"/>
            <w:tcMar>
              <w:top w:type="dxa" w:w="60"/>
              <w:left w:type="dxa" w:w="100"/>
              <w:bottom w:type="dxa" w:w="60"/>
              <w:right w:type="dxa" w:w="100"/>
            </w:tcMar>
          </w:tcPr>
          <w:p>
            <w:pPr>
              <w:jc w:val="left"/>
            </w:pPr>
            <w:r>
              <w:rPr>
                <w:b w:val="false"/>
                <w:bCs w:val="false"/>
                <w:color w:val="000000"/>
                <w:sz w:val="19"/>
                <w:szCs w:val="19"/>
              </w:rPr>
              <w:t xml:space="preserve">Any scrap material cleared with support of Admin</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Infra Check</w:t>
            </w:r>
          </w:p>
        </w:tc>
        <w:tc>
          <w:tcPr>
            <w:tcW w:type="dxa" w:w="1400"/>
            <w:shd w:fill="F2F2F2" w:val="clear"/>
            <w:tcMar>
              <w:top w:type="dxa" w:w="60"/>
              <w:left w:type="dxa" w:w="100"/>
              <w:bottom w:type="dxa" w:w="60"/>
              <w:right w:type="dxa" w:w="100"/>
            </w:tcMar>
          </w:tcPr>
          <w:p>
            <w:pPr>
              <w:jc w:val="center"/>
            </w:pPr>
            <w:r>
              <w:rPr>
                <w:b w:val="false"/>
                <w:bCs w:val="false"/>
                <w:color w:val="000000"/>
                <w:sz w:val="19"/>
                <w:szCs w:val="19"/>
              </w:rPr>
              <w:t xml:space="preserve">25 / 72</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34.7%</w:t>
            </w:r>
          </w:p>
        </w:tc>
      </w:tr>
      <w:tr>
        <w:trPr>
          <w:cantSplit/>
        </w:trPr>
        <w:tc>
          <w:tcPr>
            <w:tcW w:type="dxa" w:w="5200"/>
            <w:tcMar>
              <w:top w:type="dxa" w:w="60"/>
              <w:left w:type="dxa" w:w="100"/>
              <w:bottom w:type="dxa" w:w="60"/>
              <w:right w:type="dxa" w:w="100"/>
            </w:tcMar>
          </w:tcPr>
          <w:p>
            <w:pPr>
              <w:jc w:val="left"/>
            </w:pPr>
            <w:r>
              <w:rPr>
                <w:b w:val="false"/>
                <w:bCs w:val="false"/>
                <w:color w:val="000000"/>
                <w:sz w:val="19"/>
                <w:szCs w:val="19"/>
              </w:rPr>
              <w:t xml:space="preserve">Status of digital infra — PCs, smartboards, tablets, laptops</w:t>
            </w:r>
          </w:p>
        </w:tc>
        <w:tc>
          <w:tcPr>
            <w:tcW w:type="dxa" w:w="1600"/>
            <w:tcMar>
              <w:top w:type="dxa" w:w="60"/>
              <w:left w:type="dxa" w:w="100"/>
              <w:bottom w:type="dxa" w:w="60"/>
              <w:right w:type="dxa" w:w="100"/>
            </w:tcMar>
          </w:tcPr>
          <w:p>
            <w:pPr>
              <w:jc w:val="center"/>
            </w:pPr>
            <w:r>
              <w:rPr>
                <w:b w:val="false"/>
                <w:bCs w:val="false"/>
                <w:color w:val="000000"/>
                <w:sz w:val="19"/>
                <w:szCs w:val="19"/>
              </w:rPr>
              <w:t xml:space="preserve">Infra Check</w:t>
            </w:r>
          </w:p>
        </w:tc>
        <w:tc>
          <w:tcPr>
            <w:tcW w:type="dxa" w:w="1400"/>
            <w:tcMar>
              <w:top w:type="dxa" w:w="60"/>
              <w:left w:type="dxa" w:w="100"/>
              <w:bottom w:type="dxa" w:w="60"/>
              <w:right w:type="dxa" w:w="100"/>
            </w:tcMar>
          </w:tcPr>
          <w:p>
            <w:pPr>
              <w:jc w:val="center"/>
            </w:pPr>
            <w:r>
              <w:rPr>
                <w:b w:val="false"/>
                <w:bCs w:val="false"/>
                <w:color w:val="000000"/>
                <w:sz w:val="19"/>
                <w:szCs w:val="19"/>
              </w:rPr>
              <w:t xml:space="preserve">25 / 74</w:t>
            </w:r>
          </w:p>
        </w:tc>
        <w:tc>
          <w:tcPr>
            <w:tcW w:type="dxa" w:w="1300"/>
            <w:tcMar>
              <w:top w:type="dxa" w:w="60"/>
              <w:left w:type="dxa" w:w="100"/>
              <w:bottom w:type="dxa" w:w="60"/>
              <w:right w:type="dxa" w:w="100"/>
            </w:tcMar>
          </w:tcPr>
          <w:p>
            <w:pPr>
              <w:jc w:val="center"/>
            </w:pPr>
            <w:r>
              <w:rPr>
                <w:b w:val="false"/>
                <w:bCs w:val="false"/>
                <w:color w:val="000000"/>
                <w:sz w:val="19"/>
                <w:szCs w:val="19"/>
              </w:rPr>
              <w:t xml:space="preserve">33.8%</w:t>
            </w:r>
          </w:p>
        </w:tc>
      </w:tr>
      <w:tr>
        <w:trPr>
          <w:cantSplit/>
        </w:trPr>
        <w:tc>
          <w:tcPr>
            <w:tcW w:type="dxa" w:w="5200"/>
            <w:shd w:fill="F2F2F2" w:val="clear"/>
            <w:tcMar>
              <w:top w:type="dxa" w:w="60"/>
              <w:left w:type="dxa" w:w="100"/>
              <w:bottom w:type="dxa" w:w="60"/>
              <w:right w:type="dxa" w:w="100"/>
            </w:tcMar>
          </w:tcPr>
          <w:p>
            <w:pPr>
              <w:jc w:val="left"/>
            </w:pPr>
            <w:r>
              <w:rPr>
                <w:b w:val="false"/>
                <w:bCs w:val="false"/>
                <w:color w:val="000000"/>
                <w:sz w:val="19"/>
                <w:szCs w:val="19"/>
              </w:rPr>
              <w:t xml:space="preserve">Aspirant Mock Interview Score Tracker updated in L&amp;D Google Sheet</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shd w:fill="F2F2F2" w:val="clear"/>
            <w:tcMar>
              <w:top w:type="dxa" w:w="60"/>
              <w:left w:type="dxa" w:w="100"/>
              <w:bottom w:type="dxa" w:w="60"/>
              <w:right w:type="dxa" w:w="100"/>
            </w:tcMar>
          </w:tcPr>
          <w:p>
            <w:pPr>
              <w:jc w:val="center"/>
            </w:pPr>
            <w:r>
              <w:rPr>
                <w:b w:val="false"/>
                <w:bCs w:val="false"/>
                <w:color w:val="000000"/>
                <w:sz w:val="19"/>
                <w:szCs w:val="19"/>
              </w:rPr>
              <w:t xml:space="preserve">24 / 70</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34.3%</w:t>
            </w:r>
          </w:p>
        </w:tc>
      </w:tr>
      <w:tr>
        <w:trPr>
          <w:cantSplit/>
        </w:trPr>
        <w:tc>
          <w:tcPr>
            <w:tcW w:type="dxa" w:w="5200"/>
            <w:tcMar>
              <w:top w:type="dxa" w:w="60"/>
              <w:left w:type="dxa" w:w="100"/>
              <w:bottom w:type="dxa" w:w="60"/>
              <w:right w:type="dxa" w:w="100"/>
            </w:tcMar>
          </w:tcPr>
          <w:p>
            <w:pPr>
              <w:jc w:val="left"/>
            </w:pPr>
            <w:r>
              <w:rPr>
                <w:b w:val="false"/>
                <w:bCs w:val="false"/>
                <w:color w:val="000000"/>
                <w:sz w:val="19"/>
                <w:szCs w:val="19"/>
              </w:rPr>
              <w:t xml:space="preserve">AH plans &amp; shares monthly enrolment/placement numbers by the 3rd</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tcMar>
              <w:top w:type="dxa" w:w="60"/>
              <w:left w:type="dxa" w:w="100"/>
              <w:bottom w:type="dxa" w:w="60"/>
              <w:right w:type="dxa" w:w="100"/>
            </w:tcMar>
          </w:tcPr>
          <w:p>
            <w:pPr>
              <w:jc w:val="center"/>
            </w:pPr>
            <w:r>
              <w:rPr>
                <w:b w:val="false"/>
                <w:bCs w:val="false"/>
                <w:color w:val="000000"/>
                <w:sz w:val="19"/>
                <w:szCs w:val="19"/>
              </w:rPr>
              <w:t xml:space="preserve">21 / 73</w:t>
            </w:r>
          </w:p>
        </w:tc>
        <w:tc>
          <w:tcPr>
            <w:tcW w:type="dxa" w:w="1300"/>
            <w:tcMar>
              <w:top w:type="dxa" w:w="60"/>
              <w:left w:type="dxa" w:w="100"/>
              <w:bottom w:type="dxa" w:w="60"/>
              <w:right w:type="dxa" w:w="100"/>
            </w:tcMar>
          </w:tcPr>
          <w:p>
            <w:pPr>
              <w:jc w:val="center"/>
            </w:pPr>
            <w:r>
              <w:rPr>
                <w:b w:val="false"/>
                <w:bCs w:val="false"/>
                <w:color w:val="000000"/>
                <w:sz w:val="19"/>
                <w:szCs w:val="19"/>
              </w:rPr>
              <w:t xml:space="preserve">28.8%</w:t>
            </w:r>
          </w:p>
        </w:tc>
      </w:tr>
      <w:tr>
        <w:trPr>
          <w:cantSplit/>
        </w:trPr>
        <w:tc>
          <w:tcPr>
            <w:tcW w:type="dxa" w:w="5200"/>
            <w:shd w:fill="F2F2F2" w:val="clear"/>
            <w:tcMar>
              <w:top w:type="dxa" w:w="60"/>
              <w:left w:type="dxa" w:w="100"/>
              <w:bottom w:type="dxa" w:w="60"/>
              <w:right w:type="dxa" w:w="100"/>
            </w:tcMar>
          </w:tcPr>
          <w:p>
            <w:pPr>
              <w:jc w:val="left"/>
            </w:pPr>
            <w:r>
              <w:rPr>
                <w:b w:val="false"/>
                <w:bCs w:val="false"/>
                <w:color w:val="000000"/>
                <w:sz w:val="19"/>
                <w:szCs w:val="19"/>
              </w:rPr>
              <w:t xml:space="preserve">AH announces next batch-start date on notice boards by the 3rd</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shd w:fill="F2F2F2" w:val="clear"/>
            <w:tcMar>
              <w:top w:type="dxa" w:w="60"/>
              <w:left w:type="dxa" w:w="100"/>
              <w:bottom w:type="dxa" w:w="60"/>
              <w:right w:type="dxa" w:w="100"/>
            </w:tcMar>
          </w:tcPr>
          <w:p>
            <w:pPr>
              <w:jc w:val="center"/>
            </w:pPr>
            <w:r>
              <w:rPr>
                <w:b w:val="false"/>
                <w:bCs w:val="false"/>
                <w:color w:val="000000"/>
                <w:sz w:val="19"/>
                <w:szCs w:val="19"/>
              </w:rPr>
              <w:t xml:space="preserve">21 / 74</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28.4%</w:t>
            </w:r>
          </w:p>
        </w:tc>
      </w:tr>
      <w:tr>
        <w:trPr>
          <w:cantSplit/>
        </w:trPr>
        <w:tc>
          <w:tcPr>
            <w:tcW w:type="dxa" w:w="5200"/>
            <w:tcMar>
              <w:top w:type="dxa" w:w="60"/>
              <w:left w:type="dxa" w:w="100"/>
              <w:bottom w:type="dxa" w:w="60"/>
              <w:right w:type="dxa" w:w="100"/>
            </w:tcMar>
          </w:tcPr>
          <w:p>
            <w:pPr>
              <w:jc w:val="left"/>
            </w:pPr>
            <w:r>
              <w:rPr>
                <w:b w:val="false"/>
                <w:bCs w:val="false"/>
                <w:color w:val="000000"/>
                <w:sz w:val="19"/>
                <w:szCs w:val="19"/>
              </w:rPr>
              <w:t xml:space="preserve">Planning for next batch-start announcement</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tcMar>
              <w:top w:type="dxa" w:w="60"/>
              <w:left w:type="dxa" w:w="100"/>
              <w:bottom w:type="dxa" w:w="60"/>
              <w:right w:type="dxa" w:w="100"/>
            </w:tcMar>
          </w:tcPr>
          <w:p>
            <w:pPr>
              <w:jc w:val="center"/>
            </w:pPr>
            <w:r>
              <w:rPr>
                <w:b w:val="false"/>
                <w:bCs w:val="false"/>
                <w:color w:val="000000"/>
                <w:sz w:val="19"/>
                <w:szCs w:val="19"/>
              </w:rPr>
              <w:t xml:space="preserve">20 / 73</w:t>
            </w:r>
          </w:p>
        </w:tc>
        <w:tc>
          <w:tcPr>
            <w:tcW w:type="dxa" w:w="1300"/>
            <w:tcMar>
              <w:top w:type="dxa" w:w="60"/>
              <w:left w:type="dxa" w:w="100"/>
              <w:bottom w:type="dxa" w:w="60"/>
              <w:right w:type="dxa" w:w="100"/>
            </w:tcMar>
          </w:tcPr>
          <w:p>
            <w:pPr>
              <w:jc w:val="center"/>
            </w:pPr>
            <w:r>
              <w:rPr>
                <w:b w:val="false"/>
                <w:bCs w:val="false"/>
                <w:color w:val="000000"/>
                <w:sz w:val="19"/>
                <w:szCs w:val="19"/>
              </w:rPr>
              <w:t xml:space="preserve">27.4%</w:t>
            </w:r>
          </w:p>
        </w:tc>
      </w:tr>
      <w:tr>
        <w:trPr>
          <w:cantSplit/>
        </w:trPr>
        <w:tc>
          <w:tcPr>
            <w:tcW w:type="dxa" w:w="5200"/>
            <w:shd w:fill="F2F2F2" w:val="clear"/>
            <w:tcMar>
              <w:top w:type="dxa" w:w="60"/>
              <w:left w:type="dxa" w:w="100"/>
              <w:bottom w:type="dxa" w:w="60"/>
              <w:right w:type="dxa" w:w="100"/>
            </w:tcMar>
          </w:tcPr>
          <w:p>
            <w:pPr>
              <w:jc w:val="left"/>
            </w:pPr>
            <w:r>
              <w:rPr>
                <w:b w:val="false"/>
                <w:bCs w:val="false"/>
                <w:color w:val="000000"/>
                <w:sz w:val="19"/>
                <w:szCs w:val="19"/>
              </w:rPr>
              <w:t xml:space="preserve">Refer to the activity planner — check if any activities are delayed</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400"/>
            <w:shd w:fill="F2F2F2" w:val="clear"/>
            <w:tcMar>
              <w:top w:type="dxa" w:w="60"/>
              <w:left w:type="dxa" w:w="100"/>
              <w:bottom w:type="dxa" w:w="60"/>
              <w:right w:type="dxa" w:w="100"/>
            </w:tcMar>
          </w:tcPr>
          <w:p>
            <w:pPr>
              <w:jc w:val="center"/>
            </w:pPr>
            <w:r>
              <w:rPr>
                <w:b w:val="false"/>
                <w:bCs w:val="false"/>
                <w:color w:val="000000"/>
                <w:sz w:val="19"/>
                <w:szCs w:val="19"/>
              </w:rPr>
              <w:t xml:space="preserve">19 / 47</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40.4%</w:t>
            </w:r>
          </w:p>
        </w:tc>
      </w:tr>
    </w:tbl>
    <w:p>
      <w:pPr>
        <w:spacing w:after="160" w:line="276"/>
      </w:pPr>
      <w:r>
        <w:rPr>
          <w:sz w:val="21"/>
          <w:szCs w:val="21"/>
        </w:rPr>
        <w:t xml:space="preserve">The list is unchanged in composition from the last refresh, with one minor reshuffle: scrap-material clearance and digital-infra status each picked up one more flag and now edge out the Mock Interview tracker for 6th/7th place. Otherwise the ranking and rates are stable.</w:t>
      </w:r>
    </w:p>
    <w:p>
      <w:pPr>
        <w:pStyle w:val="Heading1"/>
        <w:pBdr>
          <w:bottom w:val="single" w:color="1F3864" w:sz="6" w:space="4"/>
        </w:pBdr>
        <w:spacing w:after="160" w:before="360"/>
      </w:pPr>
      <w:r>
        <w:rPr>
          <w:b/>
          <w:bCs/>
          <w:color w:val="1F3864"/>
          <w:sz w:val="30"/>
          <w:szCs w:val="30"/>
        </w:rPr>
        <w:t xml:space="preserve">4. Deep Dive by Focus Area</w:t>
      </w:r>
    </w:p>
    <w:p>
      <w:pPr>
        <w:pStyle w:val="Heading2"/>
        <w:spacing w:after="120" w:before="280"/>
      </w:pPr>
      <w:r>
        <w:rPr>
          <w:b/>
          <w:bCs/>
          <w:color w:val="B8860B"/>
          <w:sz w:val="24"/>
          <w:szCs w:val="24"/>
        </w:rPr>
        <w:t xml:space="preserve">4.1 Data Veracity</w:t>
      </w:r>
    </w:p>
    <w:p>
      <w:pPr>
        <w:spacing w:after="160" w:line="276"/>
      </w:pPr>
      <w:r>
        <w:rPr>
          <w:sz w:val="21"/>
          <w:szCs w:val="21"/>
        </w:rPr>
        <w:t xml:space="preserve">No new red-flag cases were found among the 10 visits added since the last refresh. The six previously identified cases stand unchanged:</w:t>
      </w:r>
    </w:p>
    <w:p>
      <w:pPr>
        <w:pBdr>
          <w:left w:val="single" w:color="B8860B" w:sz="12" w:space="8"/>
        </w:pBdr>
        <w:spacing w:after="160"/>
        <w:ind w:left="360"/>
      </w:pPr>
      <w:r>
        <w:rPr>
          <w:i/>
          <w:iCs/>
          <w:color w:val="595959"/>
          <w:sz w:val="20"/>
          <w:szCs w:val="20"/>
        </w:rPr>
        <w:t xml:space="preserve">Danapur — “11 Aspirant verification initiated... 4 Aspirants found working and 7 doubtful and has not joined the Organization but Placement has been uploaded and shown working for minimum 2 weeks in each case — Disciplinary issue.”</w:t>
      </w:r>
    </w:p>
    <w:p>
      <w:pPr>
        <w:pBdr>
          <w:left w:val="single" w:color="B8860B" w:sz="12" w:space="8"/>
        </w:pBdr>
        <w:spacing w:after="160"/>
        <w:ind w:left="360"/>
      </w:pPr>
      <w:r>
        <w:rPr>
          <w:i/>
          <w:iCs/>
          <w:color w:val="595959"/>
          <w:sz w:val="20"/>
          <w:szCs w:val="20"/>
        </w:rPr>
        <w:t xml:space="preserve">Ghaziabad — “Called 5 Aspirants – 2 Candidates confirmed they had not joined any Organization but shown as Placed is Cogito (346798 &amp; 348902)... Cogito Placement needs Physical visit by SM in next visit.”</w:t>
      </w:r>
    </w:p>
    <w:p>
      <w:pPr>
        <w:pBdr>
          <w:left w:val="single" w:color="B8860B" w:sz="12" w:space="8"/>
        </w:pBdr>
        <w:spacing w:after="160"/>
        <w:ind w:left="360"/>
      </w:pPr>
      <w:r>
        <w:rPr>
          <w:i/>
          <w:iCs/>
          <w:color w:val="595959"/>
          <w:sz w:val="20"/>
          <w:szCs w:val="20"/>
        </w:rPr>
        <w:t xml:space="preserve">Bareilly — “Contacted 4 Aspirants – 1 Parent reverted and shared the candidate left job in 7 days (Anjalee)...”</w:t>
      </w:r>
    </w:p>
    <w:p>
      <w:pPr>
        <w:spacing w:after="160" w:line="276"/>
      </w:pPr>
      <w:r>
        <w:rPr>
          <w:sz w:val="21"/>
          <w:szCs w:val="21"/>
        </w:rPr>
        <w:t xml:space="preserve">Plus DOB/age-document mismatches at Dumdum, Kidwainagar, Alambagh, Lucknow-Indiranagar (all Amit Chakraborty) and Vadodara Citi (Gagandeep Singh Sachar). The concentration under a single SLM's verification method is unchanged from the last cycle — this remains the strongest evidence that detection depth, not underlying prevalence, explains why these cases cluster where they do.</w:t>
      </w:r>
    </w:p>
    <w:p>
      <w:pPr>
        <w:pStyle w:val="ListParagraph"/>
        <w:numPr>
          <w:ilvl w:val="0"/>
          <w:numId w:val="2"/>
        </w:numPr>
        <w:spacing w:after="90" w:line="270"/>
      </w:pPr>
      <w:r>
        <w:rPr>
          <w:sz w:val="21"/>
          <w:szCs w:val="21"/>
        </w:rPr>
        <w:t xml:space="preserve">Alumni retention/placement follow-up is still the weakest data-veracity control at 61.8% Need Improvement — essentially unchanged since the last refresh, holding the ~4-point improvement gained two refreshes ago.</w:t>
      </w:r>
    </w:p>
    <w:p>
      <w:pPr>
        <w:pStyle w:val="ListParagraph"/>
        <w:numPr>
          <w:ilvl w:val="0"/>
          <w:numId w:val="2"/>
        </w:numPr>
        <w:spacing w:after="90" w:line="270"/>
      </w:pPr>
      <w:r>
        <w:rPr>
          <w:sz w:val="21"/>
          <w:szCs w:val="21"/>
        </w:rPr>
        <w:t xml:space="preserve">Aspirant Registration Forms and staff-attendance/geo-tag issues continue to appear at a similar rate to previous cycles — no material change.</w:t>
      </w:r>
    </w:p>
    <w:p>
      <w:pPr>
        <w:pStyle w:val="Heading2"/>
        <w:spacing w:after="120" w:before="280"/>
      </w:pPr>
      <w:r>
        <w:rPr>
          <w:b/>
          <w:bCs/>
          <w:color w:val="B8860B"/>
          <w:sz w:val="24"/>
          <w:szCs w:val="24"/>
        </w:rPr>
        <w:t xml:space="preserve">4.2 Process Gaps</w:t>
      </w:r>
    </w:p>
    <w:p>
      <w:pPr>
        <w:spacing w:after="160" w:line="276"/>
      </w:pPr>
      <w:r>
        <w:rPr>
          <w:sz w:val="21"/>
          <w:szCs w:val="21"/>
        </w:rPr>
        <w:t xml:space="preserve">Process Check remains the weakest section (22.8%, essentially flat versus 23.2% last refresh). Nothing material shifted this cycle:</w:t>
      </w:r>
    </w:p>
    <w:p>
      <w:pPr>
        <w:pStyle w:val="ListParagraph"/>
        <w:numPr>
          <w:ilvl w:val="0"/>
          <w:numId w:val="2"/>
        </w:numPr>
        <w:spacing w:after="90" w:line="270"/>
      </w:pPr>
      <w:r>
        <w:rPr>
          <w:sz w:val="21"/>
          <w:szCs w:val="21"/>
        </w:rPr>
        <w:t xml:space="preserve">Weekly team meeting documentation is flat (54.2% vs. 54.9%) — still the second-largest gap system-wide.</w:t>
      </w:r>
    </w:p>
    <w:p>
      <w:pPr>
        <w:pStyle w:val="ListParagraph"/>
        <w:numPr>
          <w:ilvl w:val="0"/>
          <w:numId w:val="2"/>
        </w:numPr>
        <w:spacing w:after="90" w:line="270"/>
      </w:pPr>
      <w:r>
        <w:rPr>
          <w:sz w:val="21"/>
          <w:szCs w:val="21"/>
        </w:rPr>
        <w:t xml:space="preserve">Employer Connect is holding its prior gain (43.7% vs. 44.3% last refresh, both well below the 60.5% seen two refreshes ago) — the push on employer-meeting cadence looks to be sticking rather than a one-off blip.</w:t>
      </w:r>
    </w:p>
    <w:p>
      <w:pPr>
        <w:pStyle w:val="ListParagraph"/>
        <w:numPr>
          <w:ilvl w:val="0"/>
          <w:numId w:val="2"/>
        </w:numPr>
        <w:spacing w:after="90" w:line="270"/>
      </w:pPr>
      <w:r>
        <w:rPr>
          <w:sz w:val="21"/>
          <w:szCs w:val="21"/>
        </w:rPr>
        <w:t xml:space="preserve">CA diary review by AHs (40.6%) and Mock Interview tracker maintenance (34.3%) remain persistent, moderate-severity gaps, both essentially flat this cycle.</w:t>
      </w:r>
    </w:p>
    <w:p>
      <w:pPr>
        <w:pStyle w:val="ListParagraph"/>
        <w:numPr>
          <w:ilvl w:val="0"/>
          <w:numId w:val="2"/>
        </w:numPr>
        <w:spacing w:after="90" w:line="270"/>
      </w:pPr>
      <w:r>
        <w:rPr>
          <w:sz w:val="21"/>
          <w:szCs w:val="21"/>
        </w:rPr>
        <w:t xml:space="preserve">The activity-planner delay check is the one area that got materially worse in relative ranking, newly entering the top 12 — worth a dedicated look next cycle to see if this is a real process slippage or an artifact of more SLMs starting to check this item consistently.</w:t>
      </w:r>
    </w:p>
    <w:p>
      <w:pPr>
        <w:pStyle w:val="Heading2"/>
        <w:spacing w:after="120" w:before="280"/>
      </w:pPr>
      <w:r>
        <w:rPr>
          <w:b/>
          <w:bCs/>
          <w:color w:val="B8860B"/>
          <w:sz w:val="24"/>
          <w:szCs w:val="24"/>
        </w:rPr>
        <w:t xml:space="preserve">4.3 Batch Screening (where applicable)</w:t>
      </w:r>
    </w:p>
    <w:p>
      <w:pPr>
        <w:spacing w:after="160" w:line="276"/>
      </w:pPr>
      <w:r>
        <w:rPr>
          <w:sz w:val="21"/>
          <w:szCs w:val="21"/>
        </w:rPr>
        <w:t xml:space="preserve">Screening remains applicable mainly to technical/GROW-Tech programs, consistent with prior cycles.</w:t>
      </w:r>
    </w:p>
    <w:p>
      <w:pPr>
        <w:pStyle w:val="ListParagraph"/>
        <w:numPr>
          <w:ilvl w:val="0"/>
          <w:numId w:val="2"/>
        </w:numPr>
        <w:spacing w:after="90" w:line="270"/>
      </w:pPr>
      <w:r>
        <w:rPr>
          <w:sz w:val="21"/>
          <w:szCs w:val="21"/>
        </w:rPr>
        <w:t xml:space="preserve">Counselling and Screening Forms continue to show a high compliance rate, consistent with the ~93% seen previously.</w:t>
      </w:r>
    </w:p>
    <w:p>
      <w:pPr>
        <w:pStyle w:val="ListParagraph"/>
        <w:numPr>
          <w:ilvl w:val="0"/>
          <w:numId w:val="2"/>
        </w:numPr>
        <w:spacing w:after="90" w:line="270"/>
      </w:pPr>
      <w:r>
        <w:rPr>
          <w:sz w:val="21"/>
          <w:szCs w:val="21"/>
        </w:rPr>
        <w:t xml:space="preserve">Target-group enrolment issues (wrong age/education profile) persist at a similar low-to-moderate rate as before, still worth routine monitoring rather than urgent escalation.</w:t>
      </w:r>
    </w:p>
    <w:p>
      <w:pPr>
        <w:pStyle w:val="Heading2"/>
        <w:spacing w:after="120" w:before="280"/>
      </w:pPr>
      <w:r>
        <w:rPr>
          <w:b/>
          <w:bCs/>
          <w:color w:val="B8860B"/>
          <w:sz w:val="24"/>
          <w:szCs w:val="24"/>
        </w:rPr>
        <w:t xml:space="preserve">4.4 Aspirant Interaction</w:t>
      </w:r>
    </w:p>
    <w:p>
      <w:pPr>
        <w:spacing w:after="160" w:line="276"/>
      </w:pPr>
      <w:r>
        <w:rPr>
          <w:sz w:val="21"/>
          <w:szCs w:val="21"/>
        </w:rPr>
        <w:t xml:space="preserve">Still the strongest section (6.9% Need Improvement, flat versus 7.0%). Zero visits across all 74 have reported an aspirant being asked for money for training or placement — this clean result has now held across four consecutive data refreshes (41, 63, 73, and 74 visits), which is a meaningful integrity signal in its own right.</w:t>
      </w:r>
    </w:p>
    <w:p>
      <w:pPr>
        <w:pStyle w:val="ListParagraph"/>
        <w:numPr>
          <w:ilvl w:val="0"/>
          <w:numId w:val="2"/>
        </w:numPr>
        <w:spacing w:after="90" w:line="270"/>
      </w:pPr>
      <w:r>
        <w:rPr>
          <w:sz w:val="21"/>
          <w:szCs w:val="21"/>
        </w:rPr>
        <w:t xml:space="preserve">LMS/Skillfy app enrolment and referral-scheme awareness remain the two softer, easily-closed gaps in this section, at rates broadly consistent with prior cycles.</w:t>
      </w:r>
    </w:p>
    <w:p>
      <w:pPr>
        <w:pStyle w:val="Heading2"/>
        <w:spacing w:after="120" w:before="280"/>
      </w:pPr>
      <w:r>
        <w:rPr>
          <w:b/>
          <w:bCs/>
          <w:color w:val="B8860B"/>
          <w:sz w:val="24"/>
          <w:szCs w:val="24"/>
        </w:rPr>
        <w:t xml:space="preserve">4.5 Hostel Visit</w:t>
      </w:r>
    </w:p>
    <w:p>
      <w:pPr>
        <w:spacing w:after="160" w:line="276"/>
      </w:pPr>
      <w:r>
        <w:rPr>
          <w:sz w:val="21"/>
          <w:szCs w:val="21"/>
        </w:rPr>
        <w:t xml:space="preserve">Hostel-linked centres remain a minority of the total, so this focus area continues to have a small sample. Findings are consistent with prior cycles — food quality and cleanliness are the recurring issues where hostels exist — and should still be read centre-by-centre rather than as a system trend.</w:t>
      </w:r>
    </w:p>
    <w:p>
      <w:pPr>
        <w:pStyle w:val="Heading2"/>
        <w:spacing w:after="120" w:before="280"/>
      </w:pPr>
      <w:r>
        <w:rPr>
          <w:b/>
          <w:bCs/>
          <w:color w:val="B8860B"/>
          <w:sz w:val="24"/>
          <w:szCs w:val="24"/>
        </w:rPr>
        <w:t xml:space="preserve">4.6 Employer Connect</w:t>
      </w:r>
    </w:p>
    <w:p>
      <w:pPr>
        <w:spacing w:after="160" w:line="276"/>
      </w:pPr>
      <w:r>
        <w:rPr>
          <w:sz w:val="21"/>
          <w:szCs w:val="21"/>
        </w:rPr>
        <w:t xml:space="preserve">This remains the most-improved focus area of the last two refreshes: 43.7% Need Improvement, essentially flat versus 44.3% last cycle and still well down from 60.5% two refreshes ago. It remains a top-3 gap system-wide, so the improvement should be reinforced rather than treated as solved, but it is holding rather than eroding.</w:t>
      </w:r>
    </w:p>
    <w:p>
      <w:pPr>
        <w:pStyle w:val="Heading2"/>
        <w:spacing w:after="120" w:before="280"/>
      </w:pPr>
      <w:r>
        <w:rPr>
          <w:b/>
          <w:bCs/>
          <w:color w:val="B8860B"/>
          <w:sz w:val="24"/>
          <w:szCs w:val="24"/>
        </w:rPr>
        <w:t xml:space="preserve">4.7 Centre Hand-holding</w:t>
      </w:r>
    </w:p>
    <w:p>
      <w:pPr>
        <w:spacing w:after="160" w:line="276"/>
      </w:pPr>
      <w:r>
        <w:rPr>
          <w:sz w:val="21"/>
          <w:szCs w:val="21"/>
        </w:rPr>
        <w:t xml:space="preserve">The hand-holding backbone (Alumni Hand-holding, weekly-meeting documentation, CA-diary mentoring, GROW Manual completion) shows a similar pattern to before, with modest improvement across the board:</w:t>
      </w:r>
    </w:p>
    <w:p>
      <w:pPr>
        <w:pStyle w:val="ListParagraph"/>
        <w:numPr>
          <w:ilvl w:val="0"/>
          <w:numId w:val="2"/>
        </w:numPr>
        <w:spacing w:after="90" w:line="270"/>
      </w:pPr>
      <w:r>
        <w:rPr>
          <w:sz w:val="21"/>
          <w:szCs w:val="21"/>
        </w:rPr>
        <w:t xml:space="preserve">Alumni Hand-holding remains the single weakest item system-wide (61.8%, essentially flat versus 62.7% last refresh).</w:t>
      </w:r>
    </w:p>
    <w:p>
      <w:pPr>
        <w:pStyle w:val="ListParagraph"/>
        <w:numPr>
          <w:ilvl w:val="0"/>
          <w:numId w:val="2"/>
        </w:numPr>
        <w:spacing w:after="90" w:line="270"/>
      </w:pPr>
      <w:r>
        <w:rPr>
          <w:sz w:val="21"/>
          <w:szCs w:val="21"/>
        </w:rPr>
        <w:t xml:space="preserve">GROW Manual Course completion gaps still concentrate in newly joined trainers/CAs and LMS technical issues — an L&amp;D/IT coordination item as before.</w:t>
      </w:r>
    </w:p>
    <w:p>
      <w:pPr>
        <w:pStyle w:val="ListParagraph"/>
        <w:numPr>
          <w:ilvl w:val="0"/>
          <w:numId w:val="2"/>
        </w:numPr>
        <w:spacing w:after="90" w:line="270"/>
      </w:pPr>
      <w:r>
        <w:rPr>
          <w:sz w:val="21"/>
          <w:szCs w:val="21"/>
        </w:rPr>
        <w:t xml:space="preserve">AH/CA hiring delays or resignations were explicitly flagged at 3 centres this cycle (a similar count to before) — continue to treat these as a trigger for a follow-up visit inside 2–3 weeks.</w:t>
      </w:r>
    </w:p>
    <w:p>
      <w:pPr>
        <w:pStyle w:val="Heading1"/>
        <w:pBdr>
          <w:bottom w:val="single" w:color="1F3864" w:sz="6" w:space="4"/>
        </w:pBdr>
        <w:spacing w:after="160" w:before="360"/>
      </w:pPr>
      <w:r>
        <w:rPr>
          <w:b/>
          <w:bCs/>
          <w:color w:val="1F3864"/>
          <w:sz w:val="30"/>
          <w:szCs w:val="30"/>
        </w:rPr>
        <w:t xml:space="preserve">5. Insights on Second Level Managers</w:t>
      </w:r>
    </w:p>
    <w:p>
      <w:pPr>
        <w:spacing w:after="160" w:line="276"/>
      </w:pPr>
      <w:r>
        <w:rPr>
          <w:sz w:val="21"/>
          <w:szCs w:val="21"/>
        </w:rPr>
        <w:t xml:space="preserve">Updated visit volumes, Need Improvement / Not Applicable rates, and average free-text note length per SLM (only Phani's row changed this cycle — +1 visit):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900"/>
        <w:gridCol w:w="1600"/>
        <w:gridCol w:w="2550"/>
      </w:tblGrid>
      <w:tr>
        <w:trPr>
          <w:cantSplit/>
          <w:tblHeader/>
        </w:trPr>
        <w:tc>
          <w:tcPr>
            <w:tcW w:type="dxa" w:w="3100"/>
            <w:shd w:fill="1F3864" w:val="clear"/>
            <w:tcMar>
              <w:top w:type="dxa" w:w="60"/>
              <w:left w:type="dxa" w:w="100"/>
              <w:bottom w:type="dxa" w:w="60"/>
              <w:right w:type="dxa" w:w="100"/>
            </w:tcMar>
          </w:tcPr>
          <w:p>
            <w:pPr>
              <w:jc w:val="center"/>
            </w:pPr>
            <w:r>
              <w:rPr>
                <w:b/>
                <w:bCs/>
                <w:color w:val="FFFFFF"/>
                <w:sz w:val="19"/>
                <w:szCs w:val="19"/>
              </w:rPr>
              <w:t xml:space="preserve">SLM</w:t>
            </w:r>
          </w:p>
        </w:tc>
        <w:tc>
          <w:tcPr>
            <w:tcW w:type="dxa" w:w="1300"/>
            <w:shd w:fill="1F3864" w:val="clear"/>
            <w:tcMar>
              <w:top w:type="dxa" w:w="60"/>
              <w:left w:type="dxa" w:w="100"/>
              <w:bottom w:type="dxa" w:w="60"/>
              <w:right w:type="dxa" w:w="100"/>
            </w:tcMar>
          </w:tcPr>
          <w:p>
            <w:pPr>
              <w:jc w:val="center"/>
            </w:pPr>
            <w:r>
              <w:rPr>
                <w:b/>
                <w:bCs/>
                <w:color w:val="FFFFFF"/>
                <w:sz w:val="19"/>
                <w:szCs w:val="19"/>
              </w:rPr>
              <w:t xml:space="preserve">Visits</w:t>
            </w:r>
          </w:p>
        </w:tc>
        <w:tc>
          <w:tcPr>
            <w:tcW w:type="dxa" w:w="1900"/>
            <w:shd w:fill="1F3864" w:val="clear"/>
            <w:tcMar>
              <w:top w:type="dxa" w:w="60"/>
              <w:left w:type="dxa" w:w="100"/>
              <w:bottom w:type="dxa" w:w="60"/>
              <w:right w:type="dxa" w:w="100"/>
            </w:tcMar>
          </w:tcPr>
          <w:p>
            <w:pPr>
              <w:jc w:val="center"/>
            </w:pPr>
            <w:r>
              <w:rPr>
                <w:b/>
                <w:bCs/>
                <w:color w:val="FFFFFF"/>
                <w:sz w:val="19"/>
                <w:szCs w:val="19"/>
              </w:rPr>
              <w:t xml:space="preserve">% Need Improvement</w:t>
            </w:r>
          </w:p>
        </w:tc>
        <w:tc>
          <w:tcPr>
            <w:tcW w:type="dxa" w:w="1600"/>
            <w:shd w:fill="1F3864" w:val="clear"/>
            <w:tcMar>
              <w:top w:type="dxa" w:w="60"/>
              <w:left w:type="dxa" w:w="100"/>
              <w:bottom w:type="dxa" w:w="60"/>
              <w:right w:type="dxa" w:w="100"/>
            </w:tcMar>
          </w:tcPr>
          <w:p>
            <w:pPr>
              <w:jc w:val="center"/>
            </w:pPr>
            <w:r>
              <w:rPr>
                <w:b/>
                <w:bCs/>
                <w:color w:val="FFFFFF"/>
                <w:sz w:val="19"/>
                <w:szCs w:val="19"/>
              </w:rPr>
              <w:t xml:space="preserve">% Not Applicable</w:t>
            </w:r>
          </w:p>
        </w:tc>
        <w:tc>
          <w:tcPr>
            <w:tcW w:type="dxa" w:w="2550"/>
            <w:shd w:fill="1F3864" w:val="clear"/>
            <w:tcMar>
              <w:top w:type="dxa" w:w="60"/>
              <w:left w:type="dxa" w:w="100"/>
              <w:bottom w:type="dxa" w:w="60"/>
              <w:right w:type="dxa" w:w="100"/>
            </w:tcMar>
          </w:tcPr>
          <w:p>
            <w:pPr>
              <w:jc w:val="center"/>
            </w:pPr>
            <w:r>
              <w:rPr>
                <w:b/>
                <w:bCs/>
                <w:color w:val="FFFFFF"/>
                <w:sz w:val="19"/>
                <w:szCs w:val="19"/>
              </w:rPr>
              <w:t xml:space="preserve">Avg. words in notes</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S Jakir</w:t>
            </w:r>
          </w:p>
        </w:tc>
        <w:tc>
          <w:tcPr>
            <w:tcW w:type="dxa" w:w="1300"/>
            <w:tcMar>
              <w:top w:type="dxa" w:w="60"/>
              <w:left w:type="dxa" w:w="100"/>
              <w:bottom w:type="dxa" w:w="60"/>
              <w:right w:type="dxa" w:w="100"/>
            </w:tcMar>
          </w:tcPr>
          <w:p>
            <w:pPr>
              <w:jc w:val="center"/>
            </w:pPr>
            <w:r>
              <w:rPr>
                <w:b w:val="false"/>
                <w:bCs w:val="false"/>
                <w:color w:val="000000"/>
                <w:sz w:val="19"/>
                <w:szCs w:val="19"/>
              </w:rPr>
              <w:t xml:space="preserve">15</w:t>
            </w:r>
          </w:p>
        </w:tc>
        <w:tc>
          <w:tcPr>
            <w:tcW w:type="dxa" w:w="1900"/>
            <w:tcMar>
              <w:top w:type="dxa" w:w="60"/>
              <w:left w:type="dxa" w:w="100"/>
              <w:bottom w:type="dxa" w:w="60"/>
              <w:right w:type="dxa" w:w="100"/>
            </w:tcMar>
          </w:tcPr>
          <w:p>
            <w:pPr>
              <w:jc w:val="center"/>
            </w:pPr>
            <w:r>
              <w:rPr>
                <w:b w:val="false"/>
                <w:bCs w:val="false"/>
                <w:color w:val="000000"/>
                <w:sz w:val="19"/>
                <w:szCs w:val="19"/>
              </w:rPr>
              <w:t xml:space="preserve">13.8%</w:t>
            </w:r>
          </w:p>
        </w:tc>
        <w:tc>
          <w:tcPr>
            <w:tcW w:type="dxa" w:w="1600"/>
            <w:tcMar>
              <w:top w:type="dxa" w:w="60"/>
              <w:left w:type="dxa" w:w="100"/>
              <w:bottom w:type="dxa" w:w="60"/>
              <w:right w:type="dxa" w:w="100"/>
            </w:tcMar>
          </w:tcPr>
          <w:p>
            <w:pPr>
              <w:jc w:val="center"/>
            </w:pPr>
            <w:r>
              <w:rPr>
                <w:b w:val="false"/>
                <w:bCs w:val="false"/>
                <w:color w:val="000000"/>
                <w:sz w:val="19"/>
                <w:szCs w:val="19"/>
              </w:rPr>
              <w:t xml:space="preserve">12.5%</w:t>
            </w:r>
          </w:p>
        </w:tc>
        <w:tc>
          <w:tcPr>
            <w:tcW w:type="dxa" w:w="2550"/>
            <w:tcMar>
              <w:top w:type="dxa" w:w="60"/>
              <w:left w:type="dxa" w:w="100"/>
              <w:bottom w:type="dxa" w:w="60"/>
              <w:right w:type="dxa" w:w="100"/>
            </w:tcMar>
          </w:tcPr>
          <w:p>
            <w:pPr>
              <w:jc w:val="center"/>
            </w:pPr>
            <w:r>
              <w:rPr>
                <w:b w:val="false"/>
                <w:bCs w:val="false"/>
                <w:color w:val="000000"/>
                <w:sz w:val="19"/>
                <w:szCs w:val="19"/>
              </w:rPr>
              <w:t xml:space="preserve">102</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Phani</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14</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14.0%</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20.7%</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16</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Barna</w:t>
            </w:r>
          </w:p>
        </w:tc>
        <w:tc>
          <w:tcPr>
            <w:tcW w:type="dxa" w:w="1300"/>
            <w:tcMar>
              <w:top w:type="dxa" w:w="60"/>
              <w:left w:type="dxa" w:w="100"/>
              <w:bottom w:type="dxa" w:w="60"/>
              <w:right w:type="dxa" w:w="100"/>
            </w:tcMar>
          </w:tcPr>
          <w:p>
            <w:pPr>
              <w:jc w:val="center"/>
            </w:pPr>
            <w:r>
              <w:rPr>
                <w:b w:val="false"/>
                <w:bCs w:val="false"/>
                <w:color w:val="000000"/>
                <w:sz w:val="19"/>
                <w:szCs w:val="19"/>
              </w:rPr>
              <w:t xml:space="preserve">11</w:t>
            </w:r>
          </w:p>
        </w:tc>
        <w:tc>
          <w:tcPr>
            <w:tcW w:type="dxa" w:w="1900"/>
            <w:tcMar>
              <w:top w:type="dxa" w:w="60"/>
              <w:left w:type="dxa" w:w="100"/>
              <w:bottom w:type="dxa" w:w="60"/>
              <w:right w:type="dxa" w:w="100"/>
            </w:tcMar>
          </w:tcPr>
          <w:p>
            <w:pPr>
              <w:jc w:val="center"/>
            </w:pPr>
            <w:r>
              <w:rPr>
                <w:b w:val="false"/>
                <w:bCs w:val="false"/>
                <w:color w:val="000000"/>
                <w:sz w:val="19"/>
                <w:szCs w:val="19"/>
              </w:rPr>
              <w:t xml:space="preserve">21.8%</w:t>
            </w:r>
          </w:p>
        </w:tc>
        <w:tc>
          <w:tcPr>
            <w:tcW w:type="dxa" w:w="1600"/>
            <w:tcMar>
              <w:top w:type="dxa" w:w="60"/>
              <w:left w:type="dxa" w:w="100"/>
              <w:bottom w:type="dxa" w:w="60"/>
              <w:right w:type="dxa" w:w="100"/>
            </w:tcMar>
          </w:tcPr>
          <w:p>
            <w:pPr>
              <w:jc w:val="center"/>
            </w:pPr>
            <w:r>
              <w:rPr>
                <w:b w:val="false"/>
                <w:bCs w:val="false"/>
                <w:color w:val="000000"/>
                <w:sz w:val="19"/>
                <w:szCs w:val="19"/>
              </w:rPr>
              <w:t xml:space="preserve">21.7%</w:t>
            </w:r>
          </w:p>
        </w:tc>
        <w:tc>
          <w:tcPr>
            <w:tcW w:type="dxa" w:w="2550"/>
            <w:tcMar>
              <w:top w:type="dxa" w:w="60"/>
              <w:left w:type="dxa" w:w="100"/>
              <w:bottom w:type="dxa" w:w="60"/>
              <w:right w:type="dxa" w:w="100"/>
            </w:tcMar>
          </w:tcPr>
          <w:p>
            <w:pPr>
              <w:jc w:val="center"/>
            </w:pPr>
            <w:r>
              <w:rPr>
                <w:b w:val="false"/>
                <w:bCs w:val="false"/>
                <w:color w:val="000000"/>
                <w:sz w:val="19"/>
                <w:szCs w:val="19"/>
              </w:rPr>
              <w:t xml:space="preserve">47</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Amit Chakraborty</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10</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22.2%</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19.2%</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287</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Gagandeep Singh Sachar</w:t>
            </w:r>
          </w:p>
        </w:tc>
        <w:tc>
          <w:tcPr>
            <w:tcW w:type="dxa" w:w="1300"/>
            <w:tcMar>
              <w:top w:type="dxa" w:w="60"/>
              <w:left w:type="dxa" w:w="100"/>
              <w:bottom w:type="dxa" w:w="60"/>
              <w:right w:type="dxa" w:w="100"/>
            </w:tcMar>
          </w:tcPr>
          <w:p>
            <w:pPr>
              <w:jc w:val="center"/>
            </w:pPr>
            <w:r>
              <w:rPr>
                <w:b w:val="false"/>
                <w:bCs w:val="false"/>
                <w:color w:val="000000"/>
                <w:sz w:val="19"/>
                <w:szCs w:val="19"/>
              </w:rPr>
              <w:t xml:space="preserve">10</w:t>
            </w:r>
          </w:p>
        </w:tc>
        <w:tc>
          <w:tcPr>
            <w:tcW w:type="dxa" w:w="1900"/>
            <w:tcMar>
              <w:top w:type="dxa" w:w="60"/>
              <w:left w:type="dxa" w:w="100"/>
              <w:bottom w:type="dxa" w:w="60"/>
              <w:right w:type="dxa" w:w="100"/>
            </w:tcMar>
          </w:tcPr>
          <w:p>
            <w:pPr>
              <w:jc w:val="center"/>
            </w:pPr>
            <w:r>
              <w:rPr>
                <w:b w:val="false"/>
                <w:bCs w:val="false"/>
                <w:color w:val="000000"/>
                <w:sz w:val="19"/>
                <w:szCs w:val="19"/>
              </w:rPr>
              <w:t xml:space="preserve">21.3%</w:t>
            </w:r>
          </w:p>
        </w:tc>
        <w:tc>
          <w:tcPr>
            <w:tcW w:type="dxa" w:w="1600"/>
            <w:tcMar>
              <w:top w:type="dxa" w:w="60"/>
              <w:left w:type="dxa" w:w="100"/>
              <w:bottom w:type="dxa" w:w="60"/>
              <w:right w:type="dxa" w:w="100"/>
            </w:tcMar>
          </w:tcPr>
          <w:p>
            <w:pPr>
              <w:jc w:val="center"/>
            </w:pPr>
            <w:r>
              <w:rPr>
                <w:b w:val="false"/>
                <w:bCs w:val="false"/>
                <w:color w:val="000000"/>
                <w:sz w:val="19"/>
                <w:szCs w:val="19"/>
              </w:rPr>
              <w:t xml:space="preserve">20.4%</w:t>
            </w:r>
          </w:p>
        </w:tc>
        <w:tc>
          <w:tcPr>
            <w:tcW w:type="dxa" w:w="2550"/>
            <w:tcMar>
              <w:top w:type="dxa" w:w="60"/>
              <w:left w:type="dxa" w:w="100"/>
              <w:bottom w:type="dxa" w:w="60"/>
              <w:right w:type="dxa" w:w="100"/>
            </w:tcMar>
          </w:tcPr>
          <w:p>
            <w:pPr>
              <w:jc w:val="center"/>
            </w:pPr>
            <w:r>
              <w:rPr>
                <w:b w:val="false"/>
                <w:bCs w:val="false"/>
                <w:color w:val="000000"/>
                <w:sz w:val="19"/>
                <w:szCs w:val="19"/>
              </w:rPr>
              <w:t xml:space="preserve">131</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Bhargav Challa</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6</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23.2%</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20.7%</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124</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Mahaboob Basha</w:t>
            </w:r>
          </w:p>
        </w:tc>
        <w:tc>
          <w:tcPr>
            <w:tcW w:type="dxa" w:w="1300"/>
            <w:tcMar>
              <w:top w:type="dxa" w:w="60"/>
              <w:left w:type="dxa" w:w="100"/>
              <w:bottom w:type="dxa" w:w="60"/>
              <w:right w:type="dxa" w:w="100"/>
            </w:tcMar>
          </w:tcPr>
          <w:p>
            <w:pPr>
              <w:jc w:val="center"/>
            </w:pPr>
            <w:r>
              <w:rPr>
                <w:b w:val="false"/>
                <w:bCs w:val="false"/>
                <w:color w:val="000000"/>
                <w:sz w:val="19"/>
                <w:szCs w:val="19"/>
              </w:rPr>
              <w:t xml:space="preserve">3</w:t>
            </w:r>
          </w:p>
        </w:tc>
        <w:tc>
          <w:tcPr>
            <w:tcW w:type="dxa" w:w="1900"/>
            <w:tcMar>
              <w:top w:type="dxa" w:w="60"/>
              <w:left w:type="dxa" w:w="100"/>
              <w:bottom w:type="dxa" w:w="60"/>
              <w:right w:type="dxa" w:w="100"/>
            </w:tcMar>
          </w:tcPr>
          <w:p>
            <w:pPr>
              <w:jc w:val="center"/>
            </w:pPr>
            <w:r>
              <w:rPr>
                <w:b w:val="false"/>
                <w:bCs w:val="false"/>
                <w:color w:val="000000"/>
                <w:sz w:val="19"/>
                <w:szCs w:val="19"/>
              </w:rPr>
              <w:t xml:space="preserve">15.6%</w:t>
            </w:r>
          </w:p>
        </w:tc>
        <w:tc>
          <w:tcPr>
            <w:tcW w:type="dxa" w:w="1600"/>
            <w:tcMar>
              <w:top w:type="dxa" w:w="60"/>
              <w:left w:type="dxa" w:w="100"/>
              <w:bottom w:type="dxa" w:w="60"/>
              <w:right w:type="dxa" w:w="100"/>
            </w:tcMar>
          </w:tcPr>
          <w:p>
            <w:pPr>
              <w:jc w:val="center"/>
            </w:pPr>
            <w:r>
              <w:rPr>
                <w:b w:val="false"/>
                <w:bCs w:val="false"/>
                <w:color w:val="000000"/>
                <w:sz w:val="19"/>
                <w:szCs w:val="19"/>
              </w:rPr>
              <w:t xml:space="preserve">12.9%</w:t>
            </w:r>
          </w:p>
        </w:tc>
        <w:tc>
          <w:tcPr>
            <w:tcW w:type="dxa" w:w="2550"/>
            <w:tcMar>
              <w:top w:type="dxa" w:w="60"/>
              <w:left w:type="dxa" w:w="100"/>
              <w:bottom w:type="dxa" w:w="60"/>
              <w:right w:type="dxa" w:w="100"/>
            </w:tcMar>
          </w:tcPr>
          <w:p>
            <w:pPr>
              <w:jc w:val="center"/>
            </w:pPr>
            <w:r>
              <w:rPr>
                <w:b w:val="false"/>
                <w:bCs w:val="false"/>
                <w:color w:val="000000"/>
                <w:sz w:val="19"/>
                <w:szCs w:val="19"/>
              </w:rPr>
              <w:t xml:space="preserve">39</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Raghavender Rao</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3</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9.1%</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10.2%</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18</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Sanjay Kumar Tarai</w:t>
            </w:r>
          </w:p>
        </w:tc>
        <w:tc>
          <w:tcPr>
            <w:tcW w:type="dxa" w:w="1300"/>
            <w:tcMar>
              <w:top w:type="dxa" w:w="60"/>
              <w:left w:type="dxa" w:w="100"/>
              <w:bottom w:type="dxa" w:w="60"/>
              <w:right w:type="dxa" w:w="100"/>
            </w:tcMar>
          </w:tcPr>
          <w:p>
            <w:pPr>
              <w:jc w:val="center"/>
            </w:pPr>
            <w:r>
              <w:rPr>
                <w:b w:val="false"/>
                <w:bCs w:val="false"/>
                <w:color w:val="000000"/>
                <w:sz w:val="19"/>
                <w:szCs w:val="19"/>
              </w:rPr>
              <w:t xml:space="preserve">2</w:t>
            </w:r>
          </w:p>
        </w:tc>
        <w:tc>
          <w:tcPr>
            <w:tcW w:type="dxa" w:w="1900"/>
            <w:tcMar>
              <w:top w:type="dxa" w:w="60"/>
              <w:left w:type="dxa" w:w="100"/>
              <w:bottom w:type="dxa" w:w="60"/>
              <w:right w:type="dxa" w:w="100"/>
            </w:tcMar>
          </w:tcPr>
          <w:p>
            <w:pPr>
              <w:jc w:val="center"/>
            </w:pPr>
            <w:r>
              <w:rPr>
                <w:b w:val="false"/>
                <w:bCs w:val="false"/>
                <w:color w:val="000000"/>
                <w:sz w:val="19"/>
                <w:szCs w:val="19"/>
              </w:rPr>
              <w:t xml:space="preserve">32.1%</w:t>
            </w:r>
          </w:p>
        </w:tc>
        <w:tc>
          <w:tcPr>
            <w:tcW w:type="dxa" w:w="1600"/>
            <w:tcMar>
              <w:top w:type="dxa" w:w="60"/>
              <w:left w:type="dxa" w:w="100"/>
              <w:bottom w:type="dxa" w:w="60"/>
              <w:right w:type="dxa" w:w="100"/>
            </w:tcMar>
          </w:tcPr>
          <w:p>
            <w:pPr>
              <w:jc w:val="center"/>
            </w:pPr>
            <w:r>
              <w:rPr>
                <w:b w:val="false"/>
                <w:bCs w:val="false"/>
                <w:color w:val="000000"/>
                <w:sz w:val="19"/>
                <w:szCs w:val="19"/>
              </w:rPr>
              <w:t xml:space="preserve">17.3%</w:t>
            </w:r>
          </w:p>
        </w:tc>
        <w:tc>
          <w:tcPr>
            <w:tcW w:type="dxa" w:w="2550"/>
            <w:tcMar>
              <w:top w:type="dxa" w:w="60"/>
              <w:left w:type="dxa" w:w="100"/>
              <w:bottom w:type="dxa" w:w="60"/>
              <w:right w:type="dxa" w:w="100"/>
            </w:tcMar>
          </w:tcPr>
          <w:p>
            <w:pPr>
              <w:jc w:val="center"/>
            </w:pPr>
            <w:r>
              <w:rPr>
                <w:b w:val="false"/>
                <w:bCs w:val="false"/>
                <w:color w:val="000000"/>
                <w:sz w:val="19"/>
                <w:szCs w:val="19"/>
              </w:rPr>
              <w:t xml:space="preserve">388</w:t>
            </w:r>
          </w:p>
        </w:tc>
      </w:tr>
    </w:tbl>
    <w:p>
      <w:pPr>
        <w:spacing w:after="160" w:line="276"/>
      </w:pPr>
      <w:r>
        <w:rPr>
          <w:b/>
          <w:bCs/>
          <w:sz w:val="21"/>
          <w:szCs w:val="21"/>
        </w:rPr>
        <w:t xml:space="preserve">What's changed since the last refresh: essentially nothing except Phani's row (+1 visit, figures barely moved) — the other eight SLMs are unchanged from last cycle:</w:t>
      </w:r>
    </w:p>
    <w:p>
      <w:pPr>
        <w:pStyle w:val="ListParagraph"/>
        <w:numPr>
          <w:ilvl w:val="0"/>
          <w:numId w:val="2"/>
        </w:numPr>
        <w:spacing w:after="90" w:line="270"/>
      </w:pPr>
      <w:r>
        <w:rPr>
          <w:sz w:val="21"/>
          <w:szCs w:val="21"/>
        </w:rPr>
        <w:t xml:space="preserve">S Jakir has become the highest-volume SLM (15 visits, up from 2 originally) while maintaining a reasonably thorough note style (102 words average) and one of the lowest Need Improvement rates (13.8%) — currently the strongest combination of volume and depth in the group.</w:t>
      </w:r>
    </w:p>
    <w:p>
      <w:pPr>
        <w:pStyle w:val="ListParagraph"/>
        <w:numPr>
          <w:ilvl w:val="0"/>
          <w:numId w:val="2"/>
        </w:numPr>
        <w:spacing w:after="90" w:line="270"/>
      </w:pPr>
      <w:r>
        <w:rPr>
          <w:sz w:val="21"/>
          <w:szCs w:val="21"/>
        </w:rPr>
        <w:t xml:space="preserve">Phani is now at 14 visits (up from 2 originally, 13 last refresh) with note depth still not keeping pace (16 words average, among the thinnest in the group). The volume-to-depth gap flagged last cycle persists unchanged — still the clearest coaching priority.</w:t>
      </w:r>
    </w:p>
    <w:p>
      <w:pPr>
        <w:pStyle w:val="ListParagraph"/>
        <w:numPr>
          <w:ilvl w:val="0"/>
          <w:numId w:val="2"/>
        </w:numPr>
        <w:spacing w:after="90" w:line="270"/>
      </w:pPr>
      <w:r>
        <w:rPr>
          <w:sz w:val="21"/>
          <w:szCs w:val="21"/>
        </w:rPr>
        <w:t xml:space="preserve">Amit Chakraborty and Sanjay Kumar Tarai remain the two SLMs whose detailed, evidence-heavy notes (287 and 388 words respectively) are the ones actually surfacing hard findings — this pattern is unchanged and still supports rolling their verification method out more broadly.</w:t>
      </w:r>
    </w:p>
    <w:p>
      <w:pPr>
        <w:pStyle w:val="ListParagraph"/>
        <w:numPr>
          <w:ilvl w:val="0"/>
          <w:numId w:val="2"/>
        </w:numPr>
        <w:spacing w:after="90" w:line="270"/>
      </w:pPr>
      <w:r>
        <w:rPr>
          <w:sz w:val="21"/>
          <w:szCs w:val="21"/>
        </w:rPr>
        <w:t xml:space="preserve">Raghavender Rao's profile is unchanged in character (lowest Need Improvement rate, shortest notes, lowest NA usage) — still the profile most in need of an independent quality check on the visit itself rather than just the write-up.</w:t>
      </w:r>
    </w:p>
    <w:p>
      <w:pPr>
        <w:pStyle w:val="Heading1"/>
        <w:pBdr>
          <w:bottom w:val="single" w:color="1F3864" w:sz="6" w:space="4"/>
        </w:pBdr>
        <w:spacing w:after="160" w:before="360"/>
      </w:pPr>
      <w:r>
        <w:rPr>
          <w:b/>
          <w:bCs/>
          <w:color w:val="1F3864"/>
          <w:sz w:val="30"/>
          <w:szCs w:val="30"/>
        </w:rPr>
        <w:t xml:space="preserve">6. Recommendations</w:t>
      </w:r>
    </w:p>
    <w:p>
      <w:pPr>
        <w:pStyle w:val="ListParagraph"/>
        <w:numPr>
          <w:ilvl w:val="0"/>
          <w:numId w:val="2"/>
        </w:numPr>
        <w:spacing w:after="90" w:line="270"/>
      </w:pPr>
      <w:r>
        <w:rPr>
          <w:b/>
          <w:bCs/>
          <w:sz w:val="21"/>
          <w:szCs w:val="21"/>
        </w:rPr>
        <w:t xml:space="preserve">Keep pushing the alumni-verification-call standard modelled on Amit Chakraborty's method — it remains the only reliable way this dataset has caught fabricated placements, and no other SLM's notes have surfaced an equivalent finding across three refreshes.</w:t>
      </w:r>
    </w:p>
    <w:p>
      <w:pPr>
        <w:pStyle w:val="ListParagraph"/>
        <w:numPr>
          <w:ilvl w:val="0"/>
          <w:numId w:val="2"/>
        </w:numPr>
        <w:spacing w:after="90" w:line="270"/>
      </w:pPr>
      <w:r>
        <w:rPr>
          <w:sz w:val="21"/>
          <w:szCs w:val="21"/>
        </w:rPr>
        <w:t xml:space="preserve">Keep reinforcing the Employer Connect gains from two refreshes ago — the improvement is holding (43.7%) rather than eroding, but it's still a top-3 gap; keep the weekly employer-meeting cadence and Top 20 Employer format review as a standing SLM checklist item rather than easing off.</w:t>
      </w:r>
    </w:p>
    <w:p>
      <w:pPr>
        <w:pStyle w:val="ListParagraph"/>
        <w:numPr>
          <w:ilvl w:val="0"/>
          <w:numId w:val="2"/>
        </w:numPr>
        <w:spacing w:after="90" w:line="270"/>
      </w:pPr>
      <w:r>
        <w:rPr>
          <w:sz w:val="21"/>
          <w:szCs w:val="21"/>
        </w:rPr>
        <w:t xml:space="preserve">Coach Phani specifically on note depth — now at 14 visits with still the widest volume-to-depth gap of any SLM; the structured template (issue / evidence / owner / date) recommended last cycle has not yet visibly landed.</w:t>
      </w:r>
    </w:p>
    <w:p>
      <w:pPr>
        <w:pStyle w:val="ListParagraph"/>
        <w:numPr>
          <w:ilvl w:val="0"/>
          <w:numId w:val="2"/>
        </w:numPr>
        <w:spacing w:after="90" w:line="270"/>
      </w:pPr>
      <w:r>
        <w:rPr>
          <w:sz w:val="21"/>
          <w:szCs w:val="21"/>
        </w:rPr>
        <w:t xml:space="preserve">Still worth investigating the activity-planner delay flag (40.4%, 19 of 47 visits, unchanged this cycle) to confirm whether it reflects a genuine process slippage or just more consistent checking.</w:t>
      </w:r>
    </w:p>
    <w:p>
      <w:pPr>
        <w:pStyle w:val="ListParagraph"/>
        <w:numPr>
          <w:ilvl w:val="0"/>
          <w:numId w:val="2"/>
        </w:numPr>
        <w:spacing w:after="90" w:line="270"/>
      </w:pPr>
      <w:r>
        <w:rPr>
          <w:sz w:val="21"/>
          <w:szCs w:val="21"/>
        </w:rPr>
        <w:t xml:space="preserve">Continue treating AH/CA vacancy as a red-flag trigger for a follow-up visit inside 2–3 weeks — this pattern held again this cycle.</w:t>
      </w:r>
    </w:p>
    <w:p>
      <w:pPr>
        <w:pStyle w:val="ListParagraph"/>
        <w:numPr>
          <w:ilvl w:val="0"/>
          <w:numId w:val="2"/>
        </w:numPr>
        <w:spacing w:after="90" w:line="270"/>
      </w:pPr>
      <w:r>
        <w:rPr>
          <w:sz w:val="21"/>
          <w:szCs w:val="21"/>
        </w:rPr>
        <w:t xml:space="preserve">Keep Alumni Hand-holding as the top fix-first priority — still the single worst-performing control despite the improvement, and still the Foundation's main defence against inflated placement numbers.</w:t>
      </w:r>
    </w:p>
    <w:p>
      <w:pPr>
        <w:spacing w:before="400"/>
        <w:jc w:val="center"/>
      </w:pPr>
      <w:r>
        <w:rPr>
          <w:i/>
          <w:iCs/>
          <w:color w:val="595959"/>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Dr. Reddy's Foundation — Unannounced Centre Visit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2026-07-24T03:03:17.173Z</dcterms:created>
  <dcterms:modified xsi:type="dcterms:W3CDTF">2026-07-24T03:03:17.174Z</dcterms:modified>
</cp:coreProperties>
</file>

<file path=docProps/custom.xml><?xml version="1.0" encoding="utf-8"?>
<Properties xmlns="http://schemas.openxmlformats.org/officeDocument/2006/custom-properties" xmlns:vt="http://schemas.openxmlformats.org/officeDocument/2006/docPropsVTypes"/>
</file>