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Growth Roadmap – Executive Summary</w:t>
      </w:r>
    </w:p>
    <w:p>
      <w:r>
        <w:t>Scope: Ad Campaign Optimization and Customer Care AI Enablement (12-week program).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Target (12 Weeks)</w:t>
            </w:r>
          </w:p>
        </w:tc>
      </w:tr>
      <w:tr>
        <w:tc>
          <w:tcPr>
            <w:tcW w:type="dxa" w:w="2880"/>
          </w:tcPr>
          <w:p>
            <w:r>
              <w:t>Ad ROI</w:t>
            </w:r>
          </w:p>
        </w:tc>
        <w:tc>
          <w:tcPr>
            <w:tcW w:type="dxa" w:w="2880"/>
          </w:tcPr>
          <w:p>
            <w:r>
              <w:t>0.8x</w:t>
            </w:r>
          </w:p>
        </w:tc>
        <w:tc>
          <w:tcPr>
            <w:tcW w:type="dxa" w:w="2880"/>
          </w:tcPr>
          <w:p>
            <w:r>
              <w:t>1.2x+</w:t>
            </w:r>
          </w:p>
        </w:tc>
      </w:tr>
      <w:tr>
        <w:tc>
          <w:tcPr>
            <w:tcW w:type="dxa" w:w="2880"/>
          </w:tcPr>
          <w:p>
            <w:r>
              <w:t>Revenue via Ads</w:t>
            </w:r>
          </w:p>
        </w:tc>
        <w:tc>
          <w:tcPr>
            <w:tcW w:type="dxa" w:w="2880"/>
          </w:tcPr>
          <w:p>
            <w:r>
              <w:t>₹11.5L</w:t>
            </w:r>
          </w:p>
        </w:tc>
        <w:tc>
          <w:tcPr>
            <w:tcW w:type="dxa" w:w="2880"/>
          </w:tcPr>
          <w:p>
            <w:r>
              <w:t>₹18L</w:t>
            </w:r>
          </w:p>
        </w:tc>
      </w:tr>
      <w:tr>
        <w:tc>
          <w:tcPr>
            <w:tcW w:type="dxa" w:w="2880"/>
          </w:tcPr>
          <w:p>
            <w:r>
              <w:t>Response Time</w:t>
            </w:r>
          </w:p>
        </w:tc>
        <w:tc>
          <w:tcPr>
            <w:tcW w:type="dxa" w:w="2880"/>
          </w:tcPr>
          <w:p>
            <w:r>
              <w:t>5 minutes</w:t>
            </w:r>
          </w:p>
        </w:tc>
        <w:tc>
          <w:tcPr>
            <w:tcW w:type="dxa" w:w="2880"/>
          </w:tcPr>
          <w:p>
            <w:r>
              <w:t>&lt; 2 minutes</w:t>
            </w:r>
          </w:p>
        </w:tc>
      </w:tr>
      <w:tr>
        <w:tc>
          <w:tcPr>
            <w:tcW w:type="dxa" w:w="2880"/>
          </w:tcPr>
          <w:p>
            <w:r>
              <w:t>First Call Resolution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85%</w:t>
            </w:r>
          </w:p>
        </w:tc>
      </w:tr>
      <w:tr>
        <w:tc>
          <w:tcPr>
            <w:tcW w:type="dxa" w:w="2880"/>
          </w:tcPr>
          <w:p>
            <w:r>
              <w:t>Drop-off Rate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&lt; 5%</w:t>
            </w:r>
          </w:p>
        </w:tc>
      </w:tr>
    </w:tbl>
    <w:p>
      <w:r>
        <w:t>Budget: ₹17L (₹10L Ads; ₹7L Care). Timeline: 12 weeks (Pilot → Rollout → Optimize).</w:t>
      </w:r>
    </w:p>
    <w:p>
      <w:r>
        <w:t>Dashboards: ROI by product/channel; funnel; geographic/demographic insights; agent metrics; CSAT and escalations.</w:t>
      </w:r>
    </w:p>
    <w:p>
      <w:r>
        <w:t>Risks and Controls: Over-automation (human guardrails); data privacy (PII minimization, RBAC); knowledge drift (SME reviews).</w:t>
      </w:r>
    </w:p>
    <w:p>
      <w:r>
        <w:t>Decision Gate: Investor QBR at Week 12 with scale-up recommendation based on ROI and CSAT movement.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