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Module-5 Project Report – AI Growth Roadmap (Ads &amp; Customer Care)</w:t>
      </w:r>
    </w:p>
    <w:p>
      <w:pPr>
        <w:jc w:val="center"/>
      </w:pPr>
      <w:r>
        <w:t>Learner: Sai Karthik Nidamarthi | Mentor: ChatGPT</w:t>
      </w:r>
    </w:p>
    <w:p>
      <w:pPr>
        <w:jc w:val="center"/>
      </w:pPr>
      <w:r>
        <w:t>Purpose: Professional portfolio artifact and investor-facing report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consolidates two initiatives: (1) AI-driven Ad Campaign Optimization and (2) AI-enabled Customer Care Transformation. The goal is to improve marketing ROI, reduce wasted spend, and elevate customer experience through measurable outcomes within a 12-week horizon.</w:t>
      </w:r>
    </w:p>
    <w:p>
      <w:r>
        <w:t>• Baseline: ₹20L Q1 ad budget with ~71% utilized; current ROI ~0.8x; Toy Cars underperforming.</w:t>
      </w:r>
    </w:p>
    <w:p>
      <w:r>
        <w:t>• Customer care baseline: 12 new executives; average response ~5 minutes; first-call resolution ~60%; drop-off ~18%.</w:t>
      </w:r>
    </w:p>
    <w:p>
      <w:r>
        <w:t>• Projected with AI (12 weeks): ROI to 1.2x+, 20–30% waste reduction, response time &lt;2 minutes, FCR 85%, CSAT +30%.</w:t>
      </w:r>
    </w:p>
    <w:p>
      <w:r>
        <w:t>• Total budget for AI enablement: ₹17L (Ads ₹10L; Care ₹7L).</w:t>
      </w:r>
    </w:p>
    <w:p>
      <w:r>
        <w:t>Investment Case: reallocating ₹17L to AI capabilities de-risks marketing spend and compresses customer-care training cycles, translating to faster revenue realization and stronger retention with transparent dashboards.</w:t>
      </w:r>
    </w:p>
    <w:p>
      <w:pPr>
        <w:pStyle w:val="Heading1"/>
      </w:pPr>
      <w:r>
        <w:t>Context and Baseline</w:t>
      </w:r>
    </w:p>
    <w:p>
      <w:r>
        <w:t>Business: New toy company with three product lines – Toy Cars, Fur Toys, Toy Games (target ages 2–12).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Ad Budget (Q1)</w:t>
            </w:r>
          </w:p>
        </w:tc>
        <w:tc>
          <w:tcPr>
            <w:tcW w:type="dxa" w:w="4320"/>
          </w:tcPr>
          <w:p>
            <w:r>
              <w:t>₹20L (₹14.2L spent; 71%)</w:t>
            </w:r>
          </w:p>
        </w:tc>
      </w:tr>
      <w:tr>
        <w:tc>
          <w:tcPr>
            <w:tcW w:type="dxa" w:w="4320"/>
          </w:tcPr>
          <w:p>
            <w:r>
              <w:t>Ad ROI (Current)</w:t>
            </w:r>
          </w:p>
        </w:tc>
        <w:tc>
          <w:tcPr>
            <w:tcW w:type="dxa" w:w="4320"/>
          </w:tcPr>
          <w:p>
            <w:r>
              <w:t>0.8x (₹0.80 per ₹1.00)</w:t>
            </w:r>
          </w:p>
        </w:tc>
      </w:tr>
      <w:tr>
        <w:tc>
          <w:tcPr>
            <w:tcW w:type="dxa" w:w="4320"/>
          </w:tcPr>
          <w:p>
            <w:r>
              <w:t>Top Performing Segment</w:t>
            </w:r>
          </w:p>
        </w:tc>
        <w:tc>
          <w:tcPr>
            <w:tcW w:type="dxa" w:w="4320"/>
          </w:tcPr>
          <w:p>
            <w:r>
              <w:t>Fur Toys (best engagement, best CPA)</w:t>
            </w:r>
          </w:p>
        </w:tc>
      </w:tr>
      <w:tr>
        <w:tc>
          <w:tcPr>
            <w:tcW w:type="dxa" w:w="4320"/>
          </w:tcPr>
          <w:p>
            <w:r>
              <w:t>Underperforming Segment</w:t>
            </w:r>
          </w:p>
        </w:tc>
        <w:tc>
          <w:tcPr>
            <w:tcW w:type="dxa" w:w="4320"/>
          </w:tcPr>
          <w:p>
            <w:r>
              <w:t>Toy Cars (40% higher cost per conversion)</w:t>
            </w:r>
          </w:p>
        </w:tc>
      </w:tr>
      <w:tr>
        <w:tc>
          <w:tcPr>
            <w:tcW w:type="dxa" w:w="4320"/>
          </w:tcPr>
          <w:p>
            <w:r>
              <w:t>Care Baseline</w:t>
            </w:r>
          </w:p>
        </w:tc>
        <w:tc>
          <w:tcPr>
            <w:tcW w:type="dxa" w:w="4320"/>
          </w:tcPr>
          <w:p>
            <w:r>
              <w:t>12 hires; ART ~5 min; FCR ~60%; Drop-off ~18%</w:t>
            </w:r>
          </w:p>
        </w:tc>
      </w:tr>
    </w:tbl>
    <w:p>
      <w:pPr>
        <w:pStyle w:val="Heading1"/>
      </w:pPr>
      <w:r>
        <w:t>Part 1 – Ad Campaign Optimization</w:t>
      </w:r>
    </w:p>
    <w:p>
      <w:pPr>
        <w:pStyle w:val="Heading2"/>
      </w:pPr>
      <w:r>
        <w:t>Objectives</w:t>
      </w:r>
    </w:p>
    <w:p>
      <w:r>
        <w:t>• Lift ROI from 0.8x to 1.2x+ within 12 weeks.</w:t>
      </w:r>
    </w:p>
    <w:p>
      <w:r>
        <w:t>• Reduce wasted media spend by 20–30% through real-time budget reallocation.</w:t>
      </w:r>
    </w:p>
    <w:p>
      <w:r>
        <w:t>• Improve creative effectiveness via rapid AI-driven A/B testing.</w:t>
      </w:r>
    </w:p>
    <w:p>
      <w:r>
        <w:t>• Provide investor transparency with live, product-level ROI dashboards.</w:t>
      </w:r>
    </w:p>
    <w:p>
      <w:pPr>
        <w:pStyle w:val="Heading2"/>
      </w:pPr>
      <w:r>
        <w:t>AI Interventions</w:t>
      </w:r>
    </w:p>
    <w:p>
      <w:r>
        <w:t>• Real-time Budget Optimization: Auto-shift spend from low-performing (e.g., Toy Cars) to high-performing segments (e.g., Fur Toys).</w:t>
      </w:r>
    </w:p>
    <w:p>
      <w:r>
        <w:t>• Predictive Targeting: Region and age cohort analysis to prioritize higher-converting micro-segments.</w:t>
      </w:r>
    </w:p>
    <w:p>
      <w:r>
        <w:t>• Creative Experimentation at Scale: AI generates/assesses variations of copy and visuals to find winners faster.</w:t>
      </w:r>
    </w:p>
    <w:p>
      <w:r>
        <w:t>• Live ROI Dashboards: Funnel and ROI visibility (impressions → clicks → conversions → revenue).</w:t>
      </w:r>
    </w:p>
    <w:p>
      <w:pPr>
        <w:pStyle w:val="Heading2"/>
      </w:pPr>
      <w:r>
        <w:t>Implementation Plan (12 Weeks)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Timeline</w:t>
            </w:r>
          </w:p>
        </w:tc>
        <w:tc>
          <w:tcPr>
            <w:tcW w:type="dxa" w:w="1728"/>
          </w:tcPr>
          <w:p>
            <w:r>
              <w:t>Key Activities</w:t>
            </w:r>
          </w:p>
        </w:tc>
        <w:tc>
          <w:tcPr>
            <w:tcW w:type="dxa" w:w="1728"/>
          </w:tcPr>
          <w:p>
            <w:r>
              <w:t>Deliverables</w:t>
            </w:r>
          </w:p>
        </w:tc>
        <w:tc>
          <w:tcPr>
            <w:tcW w:type="dxa" w:w="1728"/>
          </w:tcPr>
          <w:p>
            <w:r>
              <w:t>Budget</w:t>
            </w:r>
          </w:p>
        </w:tc>
      </w:tr>
      <w:tr>
        <w:tc>
          <w:tcPr>
            <w:tcW w:type="dxa" w:w="1728"/>
          </w:tcPr>
          <w:p>
            <w:r>
              <w:t>Phase 1 – Pilot (Fur Toys)</w:t>
            </w:r>
          </w:p>
        </w:tc>
        <w:tc>
          <w:tcPr>
            <w:tcW w:type="dxa" w:w="1728"/>
          </w:tcPr>
          <w:p>
            <w:r>
              <w:t>Weeks 1–2</w:t>
            </w:r>
          </w:p>
        </w:tc>
        <w:tc>
          <w:tcPr>
            <w:tcW w:type="dxa" w:w="1728"/>
          </w:tcPr>
          <w:p>
            <w:r>
              <w:t>Connect ad platforms; set baselines; enable real-time budget rules; launch creative tests.</w:t>
            </w:r>
          </w:p>
        </w:tc>
        <w:tc>
          <w:tcPr>
            <w:tcW w:type="dxa" w:w="1728"/>
          </w:tcPr>
          <w:p>
            <w:r>
              <w:t>Pilot dashboard; initial winner creatives; reallocation rule-set.</w:t>
            </w:r>
          </w:p>
        </w:tc>
        <w:tc>
          <w:tcPr>
            <w:tcW w:type="dxa" w:w="1728"/>
          </w:tcPr>
          <w:p>
            <w:r>
              <w:t>₹3L</w:t>
            </w:r>
          </w:p>
        </w:tc>
      </w:tr>
      <w:tr>
        <w:tc>
          <w:tcPr>
            <w:tcW w:type="dxa" w:w="1728"/>
          </w:tcPr>
          <w:p>
            <w:r>
              <w:t>Phase 2 – Rollout</w:t>
            </w:r>
          </w:p>
        </w:tc>
        <w:tc>
          <w:tcPr>
            <w:tcW w:type="dxa" w:w="1728"/>
          </w:tcPr>
          <w:p>
            <w:r>
              <w:t>Weeks 3–6</w:t>
            </w:r>
          </w:p>
        </w:tc>
        <w:tc>
          <w:tcPr>
            <w:tcW w:type="dxa" w:w="1728"/>
          </w:tcPr>
          <w:p>
            <w:r>
              <w:t>Extend optimization to Toy Cars and Toy Games; enable predictive targeting.</w:t>
            </w:r>
          </w:p>
        </w:tc>
        <w:tc>
          <w:tcPr>
            <w:tcW w:type="dxa" w:w="1728"/>
          </w:tcPr>
          <w:p>
            <w:r>
              <w:t>Live ROI dashboard for all lines; cohort targeting matrix.</w:t>
            </w:r>
          </w:p>
        </w:tc>
        <w:tc>
          <w:tcPr>
            <w:tcW w:type="dxa" w:w="1728"/>
          </w:tcPr>
          <w:p>
            <w:r>
              <w:t>₹5L</w:t>
            </w:r>
          </w:p>
        </w:tc>
      </w:tr>
      <w:tr>
        <w:tc>
          <w:tcPr>
            <w:tcW w:type="dxa" w:w="1728"/>
          </w:tcPr>
          <w:p>
            <w:r>
              <w:t>Phase 3 – Optimize &amp; Report</w:t>
            </w:r>
          </w:p>
        </w:tc>
        <w:tc>
          <w:tcPr>
            <w:tcW w:type="dxa" w:w="1728"/>
          </w:tcPr>
          <w:p>
            <w:r>
              <w:t>Weeks 7–12</w:t>
            </w:r>
          </w:p>
        </w:tc>
        <w:tc>
          <w:tcPr>
            <w:tcW w:type="dxa" w:w="1728"/>
          </w:tcPr>
          <w:p>
            <w:r>
              <w:t>Scale top channels; cut waste; finalize QBR (quarterly business review).</w:t>
            </w:r>
          </w:p>
        </w:tc>
        <w:tc>
          <w:tcPr>
            <w:tcW w:type="dxa" w:w="1728"/>
          </w:tcPr>
          <w:p>
            <w:r>
              <w:t>QBR with ROI; CPA and CTR trends; budget reallocation playbook.</w:t>
            </w:r>
          </w:p>
        </w:tc>
        <w:tc>
          <w:tcPr>
            <w:tcW w:type="dxa" w:w="1728"/>
          </w:tcPr>
          <w:p>
            <w:r>
              <w:t>₹2L</w:t>
            </w:r>
          </w:p>
        </w:tc>
      </w:tr>
    </w:tbl>
    <w:p>
      <w:pPr>
        <w:pStyle w:val="Heading2"/>
      </w:pPr>
      <w:r>
        <w:t>KPIs and Targets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Target (12 Weeks)</w:t>
            </w:r>
          </w:p>
        </w:tc>
      </w:tr>
      <w:tr>
        <w:tc>
          <w:tcPr>
            <w:tcW w:type="dxa" w:w="2880"/>
          </w:tcPr>
          <w:p>
            <w:r>
              <w:t>ROI (Revenue/Spend)</w:t>
            </w:r>
          </w:p>
        </w:tc>
        <w:tc>
          <w:tcPr>
            <w:tcW w:type="dxa" w:w="2880"/>
          </w:tcPr>
          <w:p>
            <w:r>
              <w:t>0.8x</w:t>
            </w:r>
          </w:p>
        </w:tc>
        <w:tc>
          <w:tcPr>
            <w:tcW w:type="dxa" w:w="2880"/>
          </w:tcPr>
          <w:p>
            <w:r>
              <w:t>1.2x+</w:t>
            </w:r>
          </w:p>
        </w:tc>
      </w:tr>
      <w:tr>
        <w:tc>
          <w:tcPr>
            <w:tcW w:type="dxa" w:w="2880"/>
          </w:tcPr>
          <w:p>
            <w:r>
              <w:t>Wasted Spend</w:t>
            </w:r>
          </w:p>
        </w:tc>
        <w:tc>
          <w:tcPr>
            <w:tcW w:type="dxa" w:w="2880"/>
          </w:tcPr>
          <w:p>
            <w:r>
              <w:t>Not measured</w:t>
            </w:r>
          </w:p>
        </w:tc>
        <w:tc>
          <w:tcPr>
            <w:tcW w:type="dxa" w:w="2880"/>
          </w:tcPr>
          <w:p>
            <w:r>
              <w:t>-20% to -30%</w:t>
            </w:r>
          </w:p>
        </w:tc>
      </w:tr>
      <w:tr>
        <w:tc>
          <w:tcPr>
            <w:tcW w:type="dxa" w:w="2880"/>
          </w:tcPr>
          <w:p>
            <w:r>
              <w:t>Cost per Acquisition (CPA)</w:t>
            </w:r>
          </w:p>
        </w:tc>
        <w:tc>
          <w:tcPr>
            <w:tcW w:type="dxa" w:w="2880"/>
          </w:tcPr>
          <w:p>
            <w:r>
              <w:t>Toy Cars high vs Fur Toys</w:t>
            </w:r>
          </w:p>
        </w:tc>
        <w:tc>
          <w:tcPr>
            <w:tcW w:type="dxa" w:w="2880"/>
          </w:tcPr>
          <w:p>
            <w:r>
              <w:t>Reduce Toy Cars CPA by 25%+</w:t>
            </w:r>
          </w:p>
        </w:tc>
      </w:tr>
      <w:tr>
        <w:tc>
          <w:tcPr>
            <w:tcW w:type="dxa" w:w="2880"/>
          </w:tcPr>
          <w:p>
            <w:r>
              <w:t>Click-Through Rate (CTR)</w:t>
            </w:r>
          </w:p>
        </w:tc>
        <w:tc>
          <w:tcPr>
            <w:tcW w:type="dxa" w:w="2880"/>
          </w:tcPr>
          <w:p>
            <w:r>
              <w:t>3.2%</w:t>
            </w:r>
          </w:p>
        </w:tc>
        <w:tc>
          <w:tcPr>
            <w:tcW w:type="dxa" w:w="2880"/>
          </w:tcPr>
          <w:p>
            <w:r>
              <w:t>≥ 3.5%</w:t>
            </w:r>
          </w:p>
        </w:tc>
      </w:tr>
      <w:tr>
        <w:tc>
          <w:tcPr>
            <w:tcW w:type="dxa" w:w="2880"/>
          </w:tcPr>
          <w:p>
            <w:r>
              <w:t>Revenue Attributed to Ads</w:t>
            </w:r>
          </w:p>
        </w:tc>
        <w:tc>
          <w:tcPr>
            <w:tcW w:type="dxa" w:w="2880"/>
          </w:tcPr>
          <w:p>
            <w:r>
              <w:t>₹11.5L</w:t>
            </w:r>
          </w:p>
        </w:tc>
        <w:tc>
          <w:tcPr>
            <w:tcW w:type="dxa" w:w="2880"/>
          </w:tcPr>
          <w:p>
            <w:r>
              <w:t>₹18L</w:t>
            </w:r>
          </w:p>
        </w:tc>
      </w:tr>
    </w:tbl>
    <w:p>
      <w:pPr>
        <w:pStyle w:val="Heading2"/>
      </w:pPr>
      <w:r>
        <w:t>Risks and Mitigations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Over-automation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Hybrid oversight with weekly human audit and spend guardrails.</w:t>
            </w:r>
          </w:p>
        </w:tc>
      </w:tr>
      <w:tr>
        <w:tc>
          <w:tcPr>
            <w:tcW w:type="dxa" w:w="2880"/>
          </w:tcPr>
          <w:p>
            <w:r>
              <w:t>Creative fatigue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Creative rotation rules; AI-assisted variation testing.</w:t>
            </w:r>
          </w:p>
        </w:tc>
      </w:tr>
      <w:tr>
        <w:tc>
          <w:tcPr>
            <w:tcW w:type="dxa" w:w="2880"/>
          </w:tcPr>
          <w:p>
            <w:r>
              <w:t>Attribution errors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UTM hygiene; consistent conversion tracking; cross-channel reconciliation.</w:t>
            </w:r>
          </w:p>
        </w:tc>
      </w:tr>
    </w:tbl>
    <w:p>
      <w:pPr>
        <w:pStyle w:val="Heading1"/>
      </w:pPr>
      <w:r>
        <w:t>Part 2 – Customer Care AI Enablement</w:t>
      </w:r>
    </w:p>
    <w:p>
      <w:pPr>
        <w:pStyle w:val="Heading2"/>
      </w:pPr>
      <w:r>
        <w:t>Objectives</w:t>
      </w:r>
    </w:p>
    <w:p>
      <w:r>
        <w:t>• Cut training time by ~50% and enforce consistent tone and policy adherence.</w:t>
      </w:r>
    </w:p>
    <w:p>
      <w:r>
        <w:t>• Reduce average response time from ~5 minutes to under 2 minutes.</w:t>
      </w:r>
    </w:p>
    <w:p>
      <w:r>
        <w:t>• Lift first-call resolution from ~60% to ~85% and reduce drop-off to &lt;5%.</w:t>
      </w:r>
    </w:p>
    <w:p>
      <w:r>
        <w:t>• Increase Customer Satisfaction (CSAT) by 30% through faster, accurate replies.</w:t>
      </w:r>
    </w:p>
    <w:p>
      <w:pPr>
        <w:pStyle w:val="Heading2"/>
      </w:pPr>
      <w:r>
        <w:t>AI Interventions</w:t>
      </w:r>
    </w:p>
    <w:p>
      <w:r>
        <w:t>• AI Training Simulator: scenario-based roleplay with patient/harsh/supportive/dominant personas.</w:t>
      </w:r>
    </w:p>
    <w:p>
      <w:r>
        <w:t>• Central AI Knowledge Base: unified policies, product specs, warranty, and returns content.</w:t>
      </w:r>
    </w:p>
    <w:p>
      <w:r>
        <w:t>• Live Suggestion Engine: recommended responses and next-best-actions during calls or emails.</w:t>
      </w:r>
    </w:p>
    <w:p>
      <w:r>
        <w:t>• Sentiment Analysis: real-time tone detection to trigger de-escalation prompts and escalation paths.</w:t>
      </w:r>
    </w:p>
    <w:p>
      <w:pPr>
        <w:pStyle w:val="Heading2"/>
      </w:pPr>
      <w:r>
        <w:t>Implementation Plan (12 Weeks)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Timeline</w:t>
            </w:r>
          </w:p>
        </w:tc>
        <w:tc>
          <w:tcPr>
            <w:tcW w:type="dxa" w:w="1728"/>
          </w:tcPr>
          <w:p>
            <w:r>
              <w:t>Key Activities</w:t>
            </w:r>
          </w:p>
        </w:tc>
        <w:tc>
          <w:tcPr>
            <w:tcW w:type="dxa" w:w="1728"/>
          </w:tcPr>
          <w:p>
            <w:r>
              <w:t>Deliverables</w:t>
            </w:r>
          </w:p>
        </w:tc>
        <w:tc>
          <w:tcPr>
            <w:tcW w:type="dxa" w:w="1728"/>
          </w:tcPr>
          <w:p>
            <w:r>
              <w:t>Budget</w:t>
            </w:r>
          </w:p>
        </w:tc>
      </w:tr>
      <w:tr>
        <w:tc>
          <w:tcPr>
            <w:tcW w:type="dxa" w:w="1728"/>
          </w:tcPr>
          <w:p>
            <w:r>
              <w:t>Phase 1 – Train &amp; Build</w:t>
            </w:r>
          </w:p>
        </w:tc>
        <w:tc>
          <w:tcPr>
            <w:tcW w:type="dxa" w:w="1728"/>
          </w:tcPr>
          <w:p>
            <w:r>
              <w:t>Weeks 1–3</w:t>
            </w:r>
          </w:p>
        </w:tc>
        <w:tc>
          <w:tcPr>
            <w:tcW w:type="dxa" w:w="1728"/>
          </w:tcPr>
          <w:p>
            <w:r>
              <w:t>Design simulator flows; seed knowledge base; SOPs; tone guides.</w:t>
            </w:r>
          </w:p>
        </w:tc>
        <w:tc>
          <w:tcPr>
            <w:tcW w:type="dxa" w:w="1728"/>
          </w:tcPr>
          <w:p>
            <w:r>
              <w:t>Playbooks by product; knowledge base v1; training cohort report.</w:t>
            </w:r>
          </w:p>
        </w:tc>
        <w:tc>
          <w:tcPr>
            <w:tcW w:type="dxa" w:w="1728"/>
          </w:tcPr>
          <w:p>
            <w:r>
              <w:t>₹2.5L</w:t>
            </w:r>
          </w:p>
        </w:tc>
      </w:tr>
      <w:tr>
        <w:tc>
          <w:tcPr>
            <w:tcW w:type="dxa" w:w="1728"/>
          </w:tcPr>
          <w:p>
            <w:r>
              <w:t>Phase 2 – Go Live</w:t>
            </w:r>
          </w:p>
        </w:tc>
        <w:tc>
          <w:tcPr>
            <w:tcW w:type="dxa" w:w="1728"/>
          </w:tcPr>
          <w:p>
            <w:r>
              <w:t>Weeks 4–8</w:t>
            </w:r>
          </w:p>
        </w:tc>
        <w:tc>
          <w:tcPr>
            <w:tcW w:type="dxa" w:w="1728"/>
          </w:tcPr>
          <w:p>
            <w:r>
              <w:t>Enable live suggestions; sentiment model; QA shadowing.</w:t>
            </w:r>
          </w:p>
        </w:tc>
        <w:tc>
          <w:tcPr>
            <w:tcW w:type="dxa" w:w="1728"/>
          </w:tcPr>
          <w:p>
            <w:r>
              <w:t>Agent assist panel; escalation matrix; weekly QA dashboards.</w:t>
            </w:r>
          </w:p>
        </w:tc>
        <w:tc>
          <w:tcPr>
            <w:tcW w:type="dxa" w:w="1728"/>
          </w:tcPr>
          <w:p>
            <w:r>
              <w:t>₹3L</w:t>
            </w:r>
          </w:p>
        </w:tc>
      </w:tr>
      <w:tr>
        <w:tc>
          <w:tcPr>
            <w:tcW w:type="dxa" w:w="1728"/>
          </w:tcPr>
          <w:p>
            <w:r>
              <w:t>Phase 3 – Measure &amp; Improve</w:t>
            </w:r>
          </w:p>
        </w:tc>
        <w:tc>
          <w:tcPr>
            <w:tcW w:type="dxa" w:w="1728"/>
          </w:tcPr>
          <w:p>
            <w:r>
              <w:t>Weeks 9–12</w:t>
            </w:r>
          </w:p>
        </w:tc>
        <w:tc>
          <w:tcPr>
            <w:tcW w:type="dxa" w:w="1728"/>
          </w:tcPr>
          <w:p>
            <w:r>
              <w:t>A/B test scripts; tune prompts; calibrate SLAs &amp; staffing.</w:t>
            </w:r>
          </w:p>
        </w:tc>
        <w:tc>
          <w:tcPr>
            <w:tcW w:type="dxa" w:w="1728"/>
          </w:tcPr>
          <w:p>
            <w:r>
              <w:t>CSAT trend; FCR uplift report; staffing &amp; SLA recommendations.</w:t>
            </w:r>
          </w:p>
        </w:tc>
        <w:tc>
          <w:tcPr>
            <w:tcW w:type="dxa" w:w="1728"/>
          </w:tcPr>
          <w:p>
            <w:r>
              <w:t>₹1.5L</w:t>
            </w:r>
          </w:p>
        </w:tc>
      </w:tr>
    </w:tbl>
    <w:p>
      <w:pPr>
        <w:pStyle w:val="Heading2"/>
      </w:pPr>
      <w:r>
        <w:t>KPIs and Targets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Target (12 Weeks)</w:t>
            </w:r>
          </w:p>
        </w:tc>
      </w:tr>
      <w:tr>
        <w:tc>
          <w:tcPr>
            <w:tcW w:type="dxa" w:w="2880"/>
          </w:tcPr>
          <w:p>
            <w:r>
              <w:t>Average Response Time (ART)</w:t>
            </w:r>
          </w:p>
        </w:tc>
        <w:tc>
          <w:tcPr>
            <w:tcW w:type="dxa" w:w="2880"/>
          </w:tcPr>
          <w:p>
            <w:r>
              <w:t>5 minutes</w:t>
            </w:r>
          </w:p>
        </w:tc>
        <w:tc>
          <w:tcPr>
            <w:tcW w:type="dxa" w:w="2880"/>
          </w:tcPr>
          <w:p>
            <w:r>
              <w:t>&lt; 2 minutes</w:t>
            </w:r>
          </w:p>
        </w:tc>
      </w:tr>
      <w:tr>
        <w:tc>
          <w:tcPr>
            <w:tcW w:type="dxa" w:w="2880"/>
          </w:tcPr>
          <w:p>
            <w:r>
              <w:t>First Call Resolution (FCR)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85%</w:t>
            </w:r>
          </w:p>
        </w:tc>
      </w:tr>
      <w:tr>
        <w:tc>
          <w:tcPr>
            <w:tcW w:type="dxa" w:w="2880"/>
          </w:tcPr>
          <w:p>
            <w:r>
              <w:t>Drop-off Rate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&lt; 5%</w:t>
            </w:r>
          </w:p>
        </w:tc>
      </w:tr>
      <w:tr>
        <w:tc>
          <w:tcPr>
            <w:tcW w:type="dxa" w:w="2880"/>
          </w:tcPr>
          <w:p>
            <w:r>
              <w:t>CSAT</w:t>
            </w:r>
          </w:p>
        </w:tc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+30%</w:t>
            </w:r>
          </w:p>
        </w:tc>
      </w:tr>
      <w:tr>
        <w:tc>
          <w:tcPr>
            <w:tcW w:type="dxa" w:w="2880"/>
          </w:tcPr>
          <w:p>
            <w:r>
              <w:t>Training Cycle</w:t>
            </w:r>
          </w:p>
        </w:tc>
        <w:tc>
          <w:tcPr>
            <w:tcW w:type="dxa" w:w="2880"/>
          </w:tcPr>
          <w:p>
            <w:r>
              <w:t>6 weeks</w:t>
            </w:r>
          </w:p>
        </w:tc>
        <w:tc>
          <w:tcPr>
            <w:tcW w:type="dxa" w:w="2880"/>
          </w:tcPr>
          <w:p>
            <w:r>
              <w:t>3 weeks</w:t>
            </w:r>
          </w:p>
        </w:tc>
      </w:tr>
    </w:tbl>
    <w:p>
      <w:pPr>
        <w:pStyle w:val="Heading2"/>
      </w:pPr>
      <w:r>
        <w:t>Risks and Mitigations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Robotic tone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Blend AI prompts with human empathy; weekly call reviews with coaching.</w:t>
            </w:r>
          </w:p>
        </w:tc>
      </w:tr>
      <w:tr>
        <w:tc>
          <w:tcPr>
            <w:tcW w:type="dxa" w:w="2880"/>
          </w:tcPr>
          <w:p>
            <w:r>
              <w:t>Data privacy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PII minimization; role-based access; audit logs and retention policies.</w:t>
            </w:r>
          </w:p>
        </w:tc>
      </w:tr>
      <w:tr>
        <w:tc>
          <w:tcPr>
            <w:tcW w:type="dxa" w:w="2880"/>
          </w:tcPr>
          <w:p>
            <w:r>
              <w:t>Knowledge drift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Version control; quarterly content audits; SME approval workflow.</w:t>
            </w:r>
          </w:p>
        </w:tc>
      </w:tr>
    </w:tbl>
    <w:p>
      <w:pPr>
        <w:pStyle w:val="Heading1"/>
      </w:pPr>
      <w:r>
        <w:t>Consolidated Plan and Investor 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Dimension</w:t>
            </w:r>
          </w:p>
        </w:tc>
        <w:tc>
          <w:tcPr>
            <w:tcW w:type="dxa" w:w="2160"/>
          </w:tcPr>
          <w:p>
            <w:r>
              <w:t>Current</w:t>
            </w:r>
          </w:p>
        </w:tc>
        <w:tc>
          <w:tcPr>
            <w:tcW w:type="dxa" w:w="2160"/>
          </w:tcPr>
          <w:p>
            <w:r>
              <w:t>With AI (12 Weeks)</w:t>
            </w:r>
          </w:p>
        </w:tc>
        <w:tc>
          <w:tcPr>
            <w:tcW w:type="dxa" w:w="2160"/>
          </w:tcPr>
          <w:p>
            <w:r>
              <w:t>Comment</w:t>
            </w:r>
          </w:p>
        </w:tc>
      </w:tr>
      <w:tr>
        <w:tc>
          <w:tcPr>
            <w:tcW w:type="dxa" w:w="2160"/>
          </w:tcPr>
          <w:p>
            <w:r>
              <w:t>Ad ROI</w:t>
            </w:r>
          </w:p>
        </w:tc>
        <w:tc>
          <w:tcPr>
            <w:tcW w:type="dxa" w:w="2160"/>
          </w:tcPr>
          <w:p>
            <w:r>
              <w:t>0.8x</w:t>
            </w:r>
          </w:p>
        </w:tc>
        <w:tc>
          <w:tcPr>
            <w:tcW w:type="dxa" w:w="2160"/>
          </w:tcPr>
          <w:p>
            <w:r>
              <w:t>1.2x+</w:t>
            </w:r>
          </w:p>
        </w:tc>
        <w:tc>
          <w:tcPr>
            <w:tcW w:type="dxa" w:w="2160"/>
          </w:tcPr>
          <w:p>
            <w:r>
              <w:t>Driven by budget reallocation and creative optimization</w:t>
            </w:r>
          </w:p>
        </w:tc>
      </w:tr>
      <w:tr>
        <w:tc>
          <w:tcPr>
            <w:tcW w:type="dxa" w:w="2160"/>
          </w:tcPr>
          <w:p>
            <w:r>
              <w:t>Revenue via Ads</w:t>
            </w:r>
          </w:p>
        </w:tc>
        <w:tc>
          <w:tcPr>
            <w:tcW w:type="dxa" w:w="2160"/>
          </w:tcPr>
          <w:p>
            <w:r>
              <w:t>₹11.5L</w:t>
            </w:r>
          </w:p>
        </w:tc>
        <w:tc>
          <w:tcPr>
            <w:tcW w:type="dxa" w:w="2160"/>
          </w:tcPr>
          <w:p>
            <w:r>
              <w:t>₹18L</w:t>
            </w:r>
          </w:p>
        </w:tc>
        <w:tc>
          <w:tcPr>
            <w:tcW w:type="dxa" w:w="2160"/>
          </w:tcPr>
          <w:p>
            <w:r>
              <w:t>Attribution via standardized UTM and conversion tracking</w:t>
            </w:r>
          </w:p>
        </w:tc>
      </w:tr>
      <w:tr>
        <w:tc>
          <w:tcPr>
            <w:tcW w:type="dxa" w:w="2160"/>
          </w:tcPr>
          <w:p>
            <w:r>
              <w:t>Response Time</w:t>
            </w:r>
          </w:p>
        </w:tc>
        <w:tc>
          <w:tcPr>
            <w:tcW w:type="dxa" w:w="2160"/>
          </w:tcPr>
          <w:p>
            <w:r>
              <w:t>5 minutes</w:t>
            </w:r>
          </w:p>
        </w:tc>
        <w:tc>
          <w:tcPr>
            <w:tcW w:type="dxa" w:w="2160"/>
          </w:tcPr>
          <w:p>
            <w:r>
              <w:t>&lt; 2 minutes</w:t>
            </w:r>
          </w:p>
        </w:tc>
        <w:tc>
          <w:tcPr>
            <w:tcW w:type="dxa" w:w="2160"/>
          </w:tcPr>
          <w:p>
            <w:r>
              <w:t>Live agent assist and KB access reduce hold time</w:t>
            </w:r>
          </w:p>
        </w:tc>
      </w:tr>
      <w:tr>
        <w:tc>
          <w:tcPr>
            <w:tcW w:type="dxa" w:w="2160"/>
          </w:tcPr>
          <w:p>
            <w:r>
              <w:t>Drop-off Rate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&lt; 5%</w:t>
            </w:r>
          </w:p>
        </w:tc>
        <w:tc>
          <w:tcPr>
            <w:tcW w:type="dxa" w:w="2160"/>
          </w:tcPr>
          <w:p>
            <w:r>
              <w:t>Sentiment detection and escalation matrix</w:t>
            </w:r>
          </w:p>
        </w:tc>
      </w:tr>
      <w:tr>
        <w:tc>
          <w:tcPr>
            <w:tcW w:type="dxa" w:w="2160"/>
          </w:tcPr>
          <w:p>
            <w:r>
              <w:t>Total AI Budget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₹17L</w:t>
            </w:r>
          </w:p>
        </w:tc>
        <w:tc>
          <w:tcPr>
            <w:tcW w:type="dxa" w:w="2160"/>
          </w:tcPr>
          <w:p>
            <w:r>
              <w:t>₹10L Ads + ₹7L Care; 12-week rollout</w:t>
            </w:r>
          </w:p>
        </w:tc>
      </w:tr>
    </w:tbl>
    <w:p>
      <w:pPr>
        <w:pStyle w:val="Heading1"/>
      </w:pPr>
      <w:r>
        <w:t>Governance and Compliance</w:t>
      </w:r>
    </w:p>
    <w:p>
      <w:r>
        <w:t>• Data Governance: role-based access, customer data minimization, and retention schedules.</w:t>
      </w:r>
    </w:p>
    <w:p>
      <w:r>
        <w:t>• Model Governance: prompt and output review cadence; bias and hallucination watchlist.</w:t>
      </w:r>
    </w:p>
    <w:p>
      <w:r>
        <w:t>• Security: MFA for tools, log monitoring, incident response runbook.</w:t>
      </w:r>
    </w:p>
    <w:p>
      <w:pPr>
        <w:pStyle w:val="Heading1"/>
      </w:pPr>
      <w:r>
        <w:t>Assumptions</w:t>
      </w:r>
    </w:p>
    <w:p>
      <w:r>
        <w:t>• Attribution accuracy within ±10% under multi-channel conditions.</w:t>
      </w:r>
    </w:p>
    <w:p>
      <w:r>
        <w:t>• Seasonality effects are stable across the 12-week window.</w:t>
      </w:r>
    </w:p>
    <w:p>
      <w:r>
        <w:t>• Creative production capacity sufficient to support rapid A/B testing cycles.</w:t>
      </w:r>
    </w:p>
    <w:p>
      <w:pPr>
        <w:pStyle w:val="Heading1"/>
      </w:pPr>
      <w:r>
        <w:t>Next Steps</w:t>
      </w:r>
    </w:p>
    <w:p>
      <w:r>
        <w:t>• Approve ₹17L AI enablement budget and 12-week plan.</w:t>
      </w:r>
    </w:p>
    <w:p>
      <w:r>
        <w:t>• Kick off Phase 1 pilots (Ads and Care) and establish dashboard access for stakeholders.</w:t>
      </w:r>
    </w:p>
    <w:p>
      <w:r>
        <w:t>• Schedule QBR with investors to review results and scale-up decision.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