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Sipfora – AI Business Case Study Portfolio</w:t>
      </w:r>
    </w:p>
    <w:p>
      <w:pPr>
        <w:pStyle w:val="Heading1"/>
      </w:pPr>
      <w:r>
        <w:t>1. Project Context</w:t>
      </w:r>
    </w:p>
    <w:p>
      <w:r>
        <w:t>This portfolio project simulates a real-world business journey of a startup, Sipfora (Tea &amp; Coffee Brand), from launch to first-year performance review, expansion planning, and branding execution.</w:t>
        <w:br/>
        <w:br/>
        <w:t>The project combines:</w:t>
        <w:br/>
        <w:t>- Module 2: Prompt Engineering – Business analysis, structured reports.</w:t>
        <w:br/>
        <w:t>- Module 4: Creative AI – Branding, logos, posters, packaging visuals.</w:t>
        <w:br/>
        <w:t>- Module 5: AI Awareness – KPIs, dashboards, ROI forecasts.</w:t>
      </w:r>
    </w:p>
    <w:p>
      <w:pPr>
        <w:pStyle w:val="Heading1"/>
      </w:pPr>
      <w:r>
        <w:t>2. Year 1 Review – Key Highlights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Outcome</w:t>
            </w:r>
          </w:p>
        </w:tc>
      </w:tr>
      <w:tr>
        <w:tc>
          <w:tcPr>
            <w:tcW w:type="dxa" w:w="4320"/>
          </w:tcPr>
          <w:p>
            <w:r>
              <w:t>Capital Utilized</w:t>
            </w:r>
          </w:p>
        </w:tc>
        <w:tc>
          <w:tcPr>
            <w:tcW w:type="dxa" w:w="4320"/>
          </w:tcPr>
          <w:p>
            <w:r>
              <w:t>₹6.5 Cr</w:t>
            </w:r>
          </w:p>
        </w:tc>
      </w:tr>
      <w:tr>
        <w:tc>
          <w:tcPr>
            <w:tcW w:type="dxa" w:w="4320"/>
          </w:tcPr>
          <w:p>
            <w:r>
              <w:t>Revenue Generated</w:t>
            </w:r>
          </w:p>
        </w:tc>
        <w:tc>
          <w:tcPr>
            <w:tcW w:type="dxa" w:w="4320"/>
          </w:tcPr>
          <w:p>
            <w:r>
              <w:t>₹8.4 Cr</w:t>
            </w:r>
          </w:p>
        </w:tc>
      </w:tr>
      <w:tr>
        <w:tc>
          <w:tcPr>
            <w:tcW w:type="dxa" w:w="4320"/>
          </w:tcPr>
          <w:p>
            <w:r>
              <w:t>Net Profit</w:t>
            </w:r>
          </w:p>
        </w:tc>
        <w:tc>
          <w:tcPr>
            <w:tcW w:type="dxa" w:w="4320"/>
          </w:tcPr>
          <w:p>
            <w:r>
              <w:t>₹1.1 Cr</w:t>
            </w:r>
          </w:p>
        </w:tc>
      </w:tr>
      <w:tr>
        <w:tc>
          <w:tcPr>
            <w:tcW w:type="dxa" w:w="4320"/>
          </w:tcPr>
          <w:p>
            <w:r>
              <w:t>ROI (Year 1)</w:t>
            </w:r>
          </w:p>
        </w:tc>
        <w:tc>
          <w:tcPr>
            <w:tcW w:type="dxa" w:w="4320"/>
          </w:tcPr>
          <w:p>
            <w:r>
              <w:t>16.9%</w:t>
            </w:r>
          </w:p>
        </w:tc>
      </w:tr>
      <w:tr>
        <w:tc>
          <w:tcPr>
            <w:tcW w:type="dxa" w:w="4320"/>
          </w:tcPr>
          <w:p>
            <w:r>
              <w:t>Sales Growth</w:t>
            </w:r>
          </w:p>
        </w:tc>
        <w:tc>
          <w:tcPr>
            <w:tcW w:type="dxa" w:w="4320"/>
          </w:tcPr>
          <w:p>
            <w:r>
              <w:t>+28% above baseline</w:t>
            </w:r>
          </w:p>
        </w:tc>
      </w:tr>
      <w:tr>
        <w:tc>
          <w:tcPr>
            <w:tcW w:type="dxa" w:w="4320"/>
          </w:tcPr>
          <w:p>
            <w:r>
              <w:t>Revenue Split</w:t>
            </w:r>
          </w:p>
        </w:tc>
        <w:tc>
          <w:tcPr>
            <w:tcW w:type="dxa" w:w="4320"/>
          </w:tcPr>
          <w:p>
            <w:r>
              <w:t>Coffee 65% / Tea 35%</w:t>
            </w:r>
          </w:p>
        </w:tc>
      </w:tr>
      <w:tr>
        <w:tc>
          <w:tcPr>
            <w:tcW w:type="dxa" w:w="4320"/>
          </w:tcPr>
          <w:p>
            <w:r>
              <w:t>Repeat Purchase Rate</w:t>
            </w:r>
          </w:p>
        </w:tc>
        <w:tc>
          <w:tcPr>
            <w:tcW w:type="dxa" w:w="4320"/>
          </w:tcPr>
          <w:p>
            <w:r>
              <w:t>42%</w:t>
            </w:r>
          </w:p>
        </w:tc>
      </w:tr>
    </w:tbl>
    <w:p>
      <w:pPr>
        <w:pStyle w:val="Heading1"/>
      </w:pPr>
      <w:r>
        <w:t>3. Performance Insights</w:t>
      </w:r>
    </w:p>
    <w:p>
      <w:pPr>
        <w:pStyle w:val="Heading2"/>
      </w:pPr>
      <w:r>
        <w:t>Sales &amp; Marketing</w:t>
      </w:r>
    </w:p>
    <w:p>
      <w:r>
        <w:t>Strengths: Metro traction, strong repeat purchases, viral campaigns.</w:t>
      </w:r>
    </w:p>
    <w:p>
      <w:r>
        <w:t>Challenges: Tier-2 penetration weak, high CAC, price sensitivity.</w:t>
      </w:r>
    </w:p>
    <w:p>
      <w:r>
        <w:t>Plan-B: E-commerce push, micro-influencers, smaller SKUs, supply chain optimization.</w:t>
      </w:r>
    </w:p>
    <w:p>
      <w:pPr>
        <w:pStyle w:val="Heading2"/>
      </w:pPr>
      <w:r>
        <w:t>Online Presence</w:t>
      </w:r>
    </w:p>
    <w:p>
      <w:r>
        <w:t>Followers: 25K+ (Instagram, YouTube, LinkedIn)</w:t>
      </w:r>
    </w:p>
    <w:p>
      <w:r>
        <w:t>Engagement Rate: 4.8%</w:t>
      </w:r>
    </w:p>
    <w:p>
      <w:r>
        <w:t>Forecast: Reach +40%, Conversion Rate up to 4%, CAC -25%</w:t>
      </w:r>
    </w:p>
    <w:p>
      <w:pPr>
        <w:pStyle w:val="Heading2"/>
      </w:pPr>
      <w:r>
        <w:t>HR &amp; People</w:t>
      </w:r>
    </w:p>
    <w:p>
      <w:r>
        <w:t>Current Headcount: 52</w:t>
      </w:r>
    </w:p>
    <w:p>
      <w:r>
        <w:t>Attrition: 12% (below industry avg)</w:t>
      </w:r>
    </w:p>
    <w:p>
      <w:r>
        <w:t>New Hiring: 8 roles (Sales, Analytics, Community Manager)</w:t>
      </w:r>
    </w:p>
    <w:p>
      <w:r>
        <w:t>Budget: ₹75–80 Lakhs (~12% OpEx)</w:t>
      </w:r>
    </w:p>
    <w:p>
      <w:pPr>
        <w:pStyle w:val="Heading1"/>
      </w:pPr>
      <w:r>
        <w:t>4. Customer Feedback</w:t>
      </w:r>
    </w:p>
    <w:p>
      <w:r>
        <w:t>Loved: Cold brews, herbal teas.</w:t>
      </w:r>
    </w:p>
    <w:p>
      <w:r>
        <w:t>Issues: Premium teas resisted in Tier-2 cities.</w:t>
      </w:r>
    </w:p>
    <w:p>
      <w:r>
        <w:t>Actions: Smaller SKUs, bundles, cheaper logistics.</w:t>
      </w:r>
    </w:p>
    <w:p>
      <w:pPr>
        <w:pStyle w:val="Heading1"/>
      </w:pPr>
      <w:r>
        <w:t>5. Year 2 Forecast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Budget Allocation (₹9.5 Cr)</w:t>
            </w:r>
          </w:p>
        </w:tc>
        <w:tc>
          <w:tcPr>
            <w:tcW w:type="dxa" w:w="4320"/>
          </w:tcPr>
          <w:p>
            <w:r>
              <w:t>% of OpEx</w:t>
            </w:r>
          </w:p>
        </w:tc>
      </w:tr>
      <w:tr>
        <w:tc>
          <w:tcPr>
            <w:tcW w:type="dxa" w:w="4320"/>
          </w:tcPr>
          <w:p>
            <w:r>
              <w:t>Sales &amp; Distribution – ₹3.2 Cr</w:t>
            </w:r>
          </w:p>
        </w:tc>
        <w:tc>
          <w:tcPr>
            <w:tcW w:type="dxa" w:w="4320"/>
          </w:tcPr>
          <w:p>
            <w:r>
              <w:t>34%</w:t>
            </w:r>
          </w:p>
        </w:tc>
      </w:tr>
      <w:tr>
        <w:tc>
          <w:tcPr>
            <w:tcW w:type="dxa" w:w="4320"/>
          </w:tcPr>
          <w:p>
            <w:r>
              <w:t>Marketing &amp; Branding – ₹2.1 Cr</w:t>
            </w:r>
          </w:p>
        </w:tc>
        <w:tc>
          <w:tcPr>
            <w:tcW w:type="dxa" w:w="4320"/>
          </w:tcPr>
          <w:p>
            <w:r>
              <w:t>22%</w:t>
            </w:r>
          </w:p>
        </w:tc>
      </w:tr>
      <w:tr>
        <w:tc>
          <w:tcPr>
            <w:tcW w:type="dxa" w:w="4320"/>
          </w:tcPr>
          <w:p>
            <w:r>
              <w:t>Product Development – ₹1.1 Cr</w:t>
            </w:r>
          </w:p>
        </w:tc>
        <w:tc>
          <w:tcPr>
            <w:tcW w:type="dxa" w:w="4320"/>
          </w:tcPr>
          <w:p>
            <w:r>
              <w:t>12%</w:t>
            </w:r>
          </w:p>
        </w:tc>
      </w:tr>
      <w:tr>
        <w:tc>
          <w:tcPr>
            <w:tcW w:type="dxa" w:w="4320"/>
          </w:tcPr>
          <w:p>
            <w:r>
              <w:t>HR &amp; People – ₹0.8 Cr</w:t>
            </w:r>
          </w:p>
        </w:tc>
        <w:tc>
          <w:tcPr>
            <w:tcW w:type="dxa" w:w="4320"/>
          </w:tcPr>
          <w:p>
            <w:r>
              <w:t>8%</w:t>
            </w:r>
          </w:p>
        </w:tc>
      </w:tr>
      <w:tr>
        <w:tc>
          <w:tcPr>
            <w:tcW w:type="dxa" w:w="4320"/>
          </w:tcPr>
          <w:p>
            <w:r>
              <w:t>Tech &amp; Analytics – ₹0.7 Cr</w:t>
            </w:r>
          </w:p>
        </w:tc>
        <w:tc>
          <w:tcPr>
            <w:tcW w:type="dxa" w:w="4320"/>
          </w:tcPr>
          <w:p>
            <w:r>
              <w:t>7%</w:t>
            </w:r>
          </w:p>
        </w:tc>
      </w:tr>
      <w:tr>
        <w:tc>
          <w:tcPr>
            <w:tcW w:type="dxa" w:w="4320"/>
          </w:tcPr>
          <w:p>
            <w:r>
              <w:t>Customer Experience – ₹0.6 Cr</w:t>
            </w:r>
          </w:p>
        </w:tc>
        <w:tc>
          <w:tcPr>
            <w:tcW w:type="dxa" w:w="4320"/>
          </w:tcPr>
          <w:p>
            <w:r>
              <w:t>6%</w:t>
            </w:r>
          </w:p>
        </w:tc>
      </w:tr>
      <w:tr>
        <w:tc>
          <w:tcPr>
            <w:tcW w:type="dxa" w:w="4320"/>
          </w:tcPr>
          <w:p>
            <w:r>
              <w:t>Contingency – ₹1.0 Cr</w:t>
            </w:r>
          </w:p>
        </w:tc>
        <w:tc>
          <w:tcPr>
            <w:tcW w:type="dxa" w:w="4320"/>
          </w:tcPr>
          <w:p>
            <w:r>
              <w:t>11%</w:t>
            </w:r>
          </w:p>
        </w:tc>
      </w:tr>
    </w:tbl>
    <w:p>
      <w:r>
        <w:t>Revenue Target: ₹11.5–12 Cr</w:t>
      </w:r>
    </w:p>
    <w:p>
      <w:r>
        <w:t>Net Profit Forecast: ₹1.8–2.1 Cr</w:t>
      </w:r>
    </w:p>
    <w:p>
      <w:r>
        <w:t>ROI Forecast: 20–22%</w:t>
      </w:r>
    </w:p>
    <w:p>
      <w:r>
        <w:t>Key KPIs: Conversion ≥4%, Repeat Purchase ≥50%, Attrition ≤10%, NPS 55+</w:t>
      </w:r>
    </w:p>
    <w:p>
      <w:pPr>
        <w:pStyle w:val="Heading1"/>
      </w:pPr>
      <w:r>
        <w:t>6. Branding &amp; Expansion</w:t>
      </w:r>
    </w:p>
    <w:p>
      <w:r>
        <w:t>Final Logo (Locked): Red &amp; Gold Premium Identity – 'Every Sip, A Lifestyle'</w:t>
      </w:r>
    </w:p>
    <w:p>
      <w:r>
        <w:t>Applications: Packaging, Café Branding, Merchandise, Posters, Social Media</w:t>
      </w:r>
    </w:p>
    <w:p>
      <w:r>
        <w:t>Launch Budget: ₹2.2–2.4 Cr</w:t>
      </w:r>
    </w:p>
    <w:p>
      <w:r>
        <w:t>Expected ROI: Additional ₹4.5–5 Cr in 12 months</w:t>
      </w:r>
    </w:p>
    <w:p>
      <w:pPr>
        <w:pStyle w:val="Heading1"/>
      </w:pPr>
      <w:r>
        <w:t>7. Visual Showcase</w:t>
      </w:r>
    </w:p>
    <w:p>
      <w:r>
        <w:t>(Insert branding images/logos/posters here as GitHub assets or links.)</w:t>
      </w:r>
    </w:p>
    <w:p>
      <w:pPr>
        <w:pStyle w:val="Heading1"/>
      </w:pPr>
      <w:r>
        <w:t>8. Investor-Oriented MOM (Handbook)</w:t>
      </w:r>
    </w:p>
    <w:p>
      <w:r>
        <w:t>All meeting outcomes documented in structured JSON + DOCX formats for investor-ready handovers.</w:t>
      </w:r>
    </w:p>
    <w:p>
      <w:r>
        <w:t>Files included: Sipfora_MOM_Handbook.docx, Sipfora_MOM_Handbook.json</w:t>
      </w:r>
    </w:p>
    <w:p>
      <w:pPr>
        <w:pStyle w:val="Heading1"/>
      </w:pPr>
      <w:r>
        <w:t>9. Learning Outcome</w:t>
      </w:r>
    </w:p>
    <w:p>
      <w:r>
        <w:t>This project demonstrates the ability to:</w:t>
        <w:br/>
        <w:t>- Use AI for structured business analysis (prompts, KPIs, ROI).</w:t>
        <w:br/>
        <w:t>- Apply AI-driven creativity (logos, packaging, posters).</w:t>
        <w:br/>
        <w:t>- Translate insights into business-ready reports and forecasts.</w:t>
        <w:br/>
        <w:t>- Present outputs in professional investor formats (MOM, JSON, DOCX).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