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68B0"/>
          <w:sz w:val="44"/>
        </w:rPr>
        <w:t>Metadata-Driven Ingestion Framework</w:t>
      </w:r>
    </w:p>
    <w:p>
      <w:pPr>
        <w:jc w:val="center"/>
      </w:pPr>
      <w:r>
        <w:rPr>
          <w:color w:val="6A788F"/>
          <w:sz w:val="20"/>
        </w:rPr>
        <w:t>High Level Design  |  Version 2.0  |  August 2026  |  Internal</w:t>
      </w:r>
    </w:p>
    <w:p/>
    <w:p>
      <w:pPr>
        <w:pStyle w:val="Heading1"/>
      </w:pPr>
      <w:r>
        <w:rPr>
          <w:color w:val="0B68B0"/>
        </w:rPr>
        <w:t>01 — Executive Summary</w:t>
      </w:r>
    </w:p>
    <w:p>
      <w:pPr>
        <w:spacing w:before="0" w:after="120"/>
      </w:pPr>
      <w:r>
        <w:rPr>
          <w:b w:val="0"/>
          <w:i w:val="0"/>
        </w:rPr>
        <w:t>The Metadata-Driven Ingestion Framework provides a single, reusable, and centrally governed data integration layer on Azure. Instead of building a dedicated pipeline for each data source, a suite of generic Azure Data Factory pipelines covers all ingestion scenarios — with runtime behaviour driven entirely by metadata stored in a central Azure SQL schema (EDP_Metadata).</w:t>
      </w:r>
    </w:p>
    <w:p>
      <w:pPr>
        <w:spacing w:before="0" w:after="120"/>
      </w:pPr>
      <w:r>
        <w:rPr>
          <w:b w:val="0"/>
          <w:i w:val="0"/>
        </w:rPr>
        <w:t>Onboarding a new data source requires no pipeline development or deployment. A metadata record is inserted into the control table and the existing generic pipeline automatically handles the ingestion — resolving connections, dataset types, file formats, column delimiters, load strategy, and target paths at runtime from the metadata.</w:t>
      </w:r>
    </w:p>
    <w:p>
      <w:pPr>
        <w:spacing w:before="0" w:after="120"/>
      </w:pPr>
      <w:r>
        <w:rPr>
          <w:b w:val="0"/>
          <w:i w:val="0"/>
        </w:rPr>
        <w:t>The framework supports both Full Refresh and Incremental (Delta) load patterns, Ingress and Egress activity directions, and a broad range of source and target connectors. As of v2.0, five pipelines are fully deployed and operational, covering Azure SQL, ADLS Gen2, and REST API sources — with support for standard formats (CSV, Parquet, JSON), compressed sources (GZIP, ZIP, TarGzip), binary file pass-through, and raw JSON landing from REST endpoints.</w:t>
      </w:r>
    </w:p>
    <w:p>
      <w:pPr>
        <w:spacing w:before="0" w:after="120"/>
      </w:pPr>
      <w:r>
        <w:rPr>
          <w:b w:val="0"/>
          <w:i w:val="0"/>
        </w:rPr>
        <w:t>Configuration-level parameters shared across all pipelines — such as the metadata server and database coordinates — are managed as ADF Global Parameters, removing them entirely from individual pipeline definitions and providing a single configuration point at the factory level.</w:t>
      </w:r>
    </w:p>
    <w:p>
      <w:pPr>
        <w:pStyle w:val="Heading1"/>
      </w:pPr>
      <w:r>
        <w:rPr>
          <w:color w:val="0B68B0"/>
        </w:rPr>
        <w:t>02 — Problem Statement</w:t>
      </w:r>
    </w:p>
    <w:p>
      <w:pPr>
        <w:spacing w:before="0" w:after="120"/>
      </w:pPr>
      <w:r>
        <w:rPr>
          <w:b w:val="0"/>
          <w:i w:val="0"/>
        </w:rPr>
        <w:t>Without a metadata-driven approach, data engineering teams typically encounter the following challenges as the number of ingestion requirements grows:</w:t>
      </w:r>
    </w:p>
    <w:p>
      <w:pPr>
        <w:pStyle w:val="ListBullet"/>
        <w:spacing w:after="60"/>
      </w:pPr>
      <w:r>
        <w:rPr>
          <w:sz w:val="20"/>
        </w:rPr>
        <w:t>Pipeline proliferation — A dedicated pipeline per source/target combination results in hundreds of near-identical, independently maintained artifacts with no shared behaviour.</w:t>
      </w:r>
    </w:p>
    <w:p>
      <w:pPr>
        <w:pStyle w:val="ListBullet"/>
        <w:spacing w:after="60"/>
      </w:pPr>
      <w:r>
        <w:rPr>
          <w:sz w:val="20"/>
        </w:rPr>
        <w:t>Hardcoded configuration — Connection strings, file paths, table names, and schema references are embedded in pipeline definitions, requiring a full redeployment cycle for any configuration change.</w:t>
      </w:r>
    </w:p>
    <w:p>
      <w:pPr>
        <w:pStyle w:val="ListBullet"/>
        <w:spacing w:after="60"/>
      </w:pPr>
      <w:r>
        <w:rPr>
          <w:sz w:val="20"/>
        </w:rPr>
        <w:t>No central control — Activating or deactivating a specific ingestion job requires modifying triggers or pipeline definitions rather than updating a flag in a control table.</w:t>
      </w:r>
    </w:p>
    <w:p>
      <w:pPr>
        <w:pStyle w:val="ListBullet"/>
        <w:spacing w:after="60"/>
      </w:pPr>
      <w:r>
        <w:rPr>
          <w:sz w:val="20"/>
        </w:rPr>
        <w:t>Slow source onboarding — Each new data source demands a full pipeline build, review, test, and deployment cycle — typically days to weeks per source at scale.</w:t>
      </w:r>
    </w:p>
    <w:p>
      <w:pPr>
        <w:pStyle w:val="ListBullet"/>
        <w:spacing w:after="60"/>
      </w:pPr>
      <w:r>
        <w:rPr>
          <w:sz w:val="20"/>
        </w:rPr>
        <w:t>Inconsistency — Without enforced naming and structural conventions, pipeline implementations diverge across teams and projects.</w:t>
      </w:r>
    </w:p>
    <w:p>
      <w:pPr>
        <w:pStyle w:val="ListBullet"/>
        <w:spacing w:after="60"/>
      </w:pPr>
      <w:r>
        <w:rPr>
          <w:sz w:val="20"/>
        </w:rPr>
        <w:t>Ad hoc watermark management — Incremental load tracking is typically implemented per-pipeline, with no centralised state or visibility.</w:t>
      </w:r>
    </w:p>
    <w:p>
      <w:pPr>
        <w:pStyle w:val="ListBullet"/>
        <w:spacing w:after="60"/>
      </w:pPr>
      <w:r>
        <w:rPr>
          <w:sz w:val="20"/>
        </w:rPr>
        <w:t>Poor auditability — There is no structured record of who configured a given ingestion job, when, or what was changed.</w:t>
      </w:r>
    </w:p>
    <w:p/>
    <w:p>
      <w:pPr>
        <w:pStyle w:val="Heading1"/>
      </w:pPr>
      <w:r>
        <w:rPr>
          <w:color w:val="0B68B0"/>
        </w:rPr>
        <w:t>03 — Solution Architecture</w:t>
      </w:r>
    </w:p>
    <w:p>
      <w:pPr>
        <w:spacing w:before="0" w:after="120"/>
      </w:pPr>
      <w:r>
        <w:rPr>
          <w:b w:val="0"/>
          <w:i w:val="0"/>
        </w:rPr>
        <w:t>The framework is structured across three distinct layers. The metadata control plane drives all behaviour; ADF executes it; source and target systems are treated as interchangeable connectors.</w:t>
      </w:r>
    </w:p>
    <w:p>
      <w:pPr>
        <w:pStyle w:val="Heading2"/>
      </w:pPr>
      <w:r>
        <w:t>Runtime Execution Steps</w:t>
      </w:r>
    </w:p>
    <w:p>
      <w:pPr>
        <w:spacing w:after="60"/>
      </w:pPr>
      <w:r>
        <w:rPr>
          <w:b/>
          <w:color w:val="0B68B0"/>
        </w:rPr>
        <w:t xml:space="preserve">1.  </w:t>
      </w:r>
      <w:r>
        <w:rPr>
          <w:sz w:val="20"/>
        </w:rPr>
        <w:t>Trigger fires — passes TriggerName pipeline parameter.</w:t>
      </w:r>
    </w:p>
    <w:p>
      <w:pPr>
        <w:spacing w:after="60"/>
      </w:pPr>
      <w:r>
        <w:rPr>
          <w:b/>
          <w:color w:val="0B68B0"/>
        </w:rPr>
        <w:t xml:space="preserve">2.  </w:t>
      </w:r>
      <w:r>
        <w:rPr>
          <w:sz w:val="20"/>
        </w:rPr>
        <w:t>Lookup activity queries EDP_Metadata.MasterRef (firstRowOnly: false) — resolves full config for all active jobs in one call. Server/database coordinates from ADF Global Parameters.</w:t>
      </w:r>
    </w:p>
    <w:p>
      <w:pPr>
        <w:spacing w:after="60"/>
      </w:pPr>
      <w:r>
        <w:rPr>
          <w:b/>
          <w:color w:val="0B68B0"/>
        </w:rPr>
        <w:t xml:space="preserve">3.  </w:t>
      </w:r>
      <w:r>
        <w:rPr>
          <w:sz w:val="20"/>
        </w:rPr>
        <w:t>ForEach iterates over all returned rows in parallel (batchCount: 5).</w:t>
      </w:r>
    </w:p>
    <w:p>
      <w:pPr>
        <w:spacing w:after="60"/>
      </w:pPr>
      <w:r>
        <w:rPr>
          <w:b/>
          <w:color w:val="0B68B0"/>
        </w:rPr>
        <w:t xml:space="preserve">4.  </w:t>
      </w:r>
      <w:r>
        <w:rPr>
          <w:sz w:val="20"/>
        </w:rPr>
        <w:t>Switch evaluates SwitchCaseRef to route to the correct Copy activity.</w:t>
      </w:r>
    </w:p>
    <w:p>
      <w:pPr>
        <w:spacing w:after="60"/>
      </w:pPr>
      <w:r>
        <w:rPr>
          <w:b/>
          <w:color w:val="0B68B0"/>
        </w:rPr>
        <w:t xml:space="preserve">5.  </w:t>
      </w:r>
      <w:r>
        <w:rPr>
          <w:sz w:val="20"/>
        </w:rPr>
        <w:t>Copy executes with fully dynamic expressions — no hardcoded paths, queries, or connection details.</w:t>
      </w:r>
    </w:p>
    <w:p>
      <w:pPr>
        <w:spacing w:after="60"/>
      </w:pPr>
      <w:r>
        <w:rPr>
          <w:b/>
          <w:color w:val="0B68B0"/>
        </w:rPr>
        <w:t xml:space="preserve">6.  </w:t>
      </w:r>
      <w:r>
        <w:rPr>
          <w:sz w:val="20"/>
        </w:rPr>
        <w:t>Incremental only: validate watermark → filter source → copy → check rows &gt; 0 → update watermark.</w:t>
      </w:r>
    </w:p>
    <w:p/>
    <w:p>
      <w:pPr>
        <w:pStyle w:val="Heading1"/>
      </w:pPr>
      <w:r>
        <w:rPr>
          <w:color w:val="0B68B0"/>
        </w:rPr>
        <w:t>04 — Metadata Schema</w:t>
      </w:r>
    </w:p>
    <w:p>
      <w:pPr>
        <w:spacing w:before="0" w:after="120"/>
      </w:pPr>
      <w:r>
        <w:rPr>
          <w:b w:val="0"/>
          <w:i w:val="0"/>
        </w:rPr>
        <w:t>All framework configuration lives in the EDP_Metadata schema. It consists of a core control table (MetadataRef), a set of normalised lookup tables, and a denormalized runtime view (MasterRef) that ADF queries at pipeline execution time.</w:t>
      </w:r>
    </w:p>
    <w:p>
      <w:pPr>
        <w:pStyle w:val="Heading2"/>
      </w:pPr>
      <w:r>
        <w:t>Core Control Table — MetadataRef</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B2238"/>
          </w:tcPr>
          <w:p>
            <w:r>
              <w:rPr>
                <w:b/>
                <w:color w:val="FFFFFF"/>
                <w:sz w:val="18"/>
              </w:rPr>
              <w:t>Column</w:t>
            </w:r>
          </w:p>
        </w:tc>
        <w:tc>
          <w:tcPr>
            <w:tcW w:type="dxa" w:w="3135"/>
            <w:shd w:val="clear" w:color="auto" w:fill="1B2238"/>
          </w:tcPr>
          <w:p>
            <w:r>
              <w:rPr>
                <w:b/>
                <w:color w:val="FFFFFF"/>
                <w:sz w:val="18"/>
              </w:rPr>
              <w:t>Type</w:t>
            </w:r>
          </w:p>
        </w:tc>
        <w:tc>
          <w:tcPr>
            <w:tcW w:type="dxa" w:w="3135"/>
            <w:shd w:val="clear" w:color="auto" w:fill="1B2238"/>
          </w:tcPr>
          <w:p>
            <w:r>
              <w:rPr>
                <w:b/>
                <w:color w:val="FFFFFF"/>
                <w:sz w:val="18"/>
              </w:rPr>
              <w:t>Purpose</w:t>
            </w:r>
          </w:p>
        </w:tc>
      </w:tr>
      <w:tr>
        <w:tc>
          <w:tcPr>
            <w:tcW w:type="dxa" w:w="3135"/>
            <w:shd w:val="clear" w:color="auto" w:fill="FFFFFF"/>
          </w:tcPr>
          <w:p>
            <w:r>
              <w:rPr>
                <w:sz w:val="18"/>
              </w:rPr>
              <w:t>Metadata_ID</w:t>
            </w:r>
          </w:p>
        </w:tc>
        <w:tc>
          <w:tcPr>
            <w:tcW w:type="dxa" w:w="3135"/>
            <w:shd w:val="clear" w:color="auto" w:fill="FFFFFF"/>
          </w:tcPr>
          <w:p>
            <w:r>
              <w:rPr>
                <w:sz w:val="18"/>
              </w:rPr>
              <w:t>INT IDENTITY</w:t>
            </w:r>
          </w:p>
        </w:tc>
        <w:tc>
          <w:tcPr>
            <w:tcW w:type="dxa" w:w="3135"/>
            <w:shd w:val="clear" w:color="auto" w:fill="FFFFFF"/>
          </w:tcPr>
          <w:p>
            <w:r>
              <w:rPr>
                <w:sz w:val="18"/>
              </w:rPr>
              <w:t>Primary key</w:t>
            </w:r>
          </w:p>
        </w:tc>
      </w:tr>
      <w:tr>
        <w:tc>
          <w:tcPr>
            <w:tcW w:type="dxa" w:w="3135"/>
            <w:shd w:val="clear" w:color="auto" w:fill="EBF0F8"/>
          </w:tcPr>
          <w:p>
            <w:r>
              <w:rPr>
                <w:sz w:val="18"/>
              </w:rPr>
              <w:t>Metadata_Job</w:t>
            </w:r>
          </w:p>
        </w:tc>
        <w:tc>
          <w:tcPr>
            <w:tcW w:type="dxa" w:w="3135"/>
            <w:shd w:val="clear" w:color="auto" w:fill="EBF0F8"/>
          </w:tcPr>
          <w:p>
            <w:r>
              <w:rPr>
                <w:sz w:val="18"/>
              </w:rPr>
              <w:t>NVARCHAR(200) UNIQUE</w:t>
            </w:r>
          </w:p>
        </w:tc>
        <w:tc>
          <w:tcPr>
            <w:tcW w:type="dxa" w:w="3135"/>
            <w:shd w:val="clear" w:color="auto" w:fill="EBF0F8"/>
          </w:tcPr>
          <w:p>
            <w:r>
              <w:rPr>
                <w:sz w:val="18"/>
              </w:rPr>
              <w:t>Unique job name — passed as trigger parameter</w:t>
            </w:r>
          </w:p>
        </w:tc>
      </w:tr>
      <w:tr>
        <w:tc>
          <w:tcPr>
            <w:tcW w:type="dxa" w:w="3135"/>
            <w:shd w:val="clear" w:color="auto" w:fill="FFFFFF"/>
          </w:tcPr>
          <w:p>
            <w:r>
              <w:rPr>
                <w:sz w:val="18"/>
              </w:rPr>
              <w:t>Business_Domain_ID</w:t>
            </w:r>
          </w:p>
        </w:tc>
        <w:tc>
          <w:tcPr>
            <w:tcW w:type="dxa" w:w="3135"/>
            <w:shd w:val="clear" w:color="auto" w:fill="FFFFFF"/>
          </w:tcPr>
          <w:p>
            <w:r>
              <w:rPr>
                <w:sz w:val="18"/>
              </w:rPr>
              <w:t>INT (FK)</w:t>
            </w:r>
          </w:p>
        </w:tc>
        <w:tc>
          <w:tcPr>
            <w:tcW w:type="dxa" w:w="3135"/>
            <w:shd w:val="clear" w:color="auto" w:fill="FFFFFF"/>
          </w:tcPr>
          <w:p>
            <w:r>
              <w:rPr>
                <w:sz w:val="18"/>
              </w:rPr>
              <w:t>Classifies job by business function (BusinessDomainRef)</w:t>
            </w:r>
          </w:p>
        </w:tc>
      </w:tr>
      <w:tr>
        <w:tc>
          <w:tcPr>
            <w:tcW w:type="dxa" w:w="3135"/>
            <w:shd w:val="clear" w:color="auto" w:fill="EBF0F8"/>
          </w:tcPr>
          <w:p>
            <w:r>
              <w:rPr>
                <w:sz w:val="18"/>
              </w:rPr>
              <w:t>ADF_Name</w:t>
            </w:r>
          </w:p>
        </w:tc>
        <w:tc>
          <w:tcPr>
            <w:tcW w:type="dxa" w:w="3135"/>
            <w:shd w:val="clear" w:color="auto" w:fill="EBF0F8"/>
          </w:tcPr>
          <w:p>
            <w:r>
              <w:rPr>
                <w:sz w:val="18"/>
              </w:rPr>
              <w:t>NVARCHAR(100)</w:t>
            </w:r>
          </w:p>
        </w:tc>
        <w:tc>
          <w:tcPr>
            <w:tcW w:type="dxa" w:w="3135"/>
            <w:shd w:val="clear" w:color="auto" w:fill="EBF0F8"/>
          </w:tcPr>
          <w:p>
            <w:r>
              <w:rPr>
                <w:sz w:val="18"/>
              </w:rPr>
              <w:t>Name of the ADF instance</w:t>
            </w:r>
          </w:p>
        </w:tc>
      </w:tr>
      <w:tr>
        <w:tc>
          <w:tcPr>
            <w:tcW w:type="dxa" w:w="3135"/>
            <w:shd w:val="clear" w:color="auto" w:fill="FFFFFF"/>
          </w:tcPr>
          <w:p>
            <w:r>
              <w:rPr>
                <w:sz w:val="18"/>
              </w:rPr>
              <w:t>Trigger_Name</w:t>
            </w:r>
          </w:p>
        </w:tc>
        <w:tc>
          <w:tcPr>
            <w:tcW w:type="dxa" w:w="3135"/>
            <w:shd w:val="clear" w:color="auto" w:fill="FFFFFF"/>
          </w:tcPr>
          <w:p>
            <w:r>
              <w:rPr>
                <w:sz w:val="18"/>
              </w:rPr>
              <w:t>NVARCHAR(200)</w:t>
            </w:r>
          </w:p>
        </w:tc>
        <w:tc>
          <w:tcPr>
            <w:tcW w:type="dxa" w:w="3135"/>
            <w:shd w:val="clear" w:color="auto" w:fill="FFFFFF"/>
          </w:tcPr>
          <w:p>
            <w:r>
              <w:rPr>
                <w:sz w:val="18"/>
              </w:rPr>
              <w:t>ADF trigger name for this job</w:t>
            </w:r>
          </w:p>
        </w:tc>
      </w:tr>
      <w:tr>
        <w:tc>
          <w:tcPr>
            <w:tcW w:type="dxa" w:w="3135"/>
            <w:shd w:val="clear" w:color="auto" w:fill="EBF0F8"/>
          </w:tcPr>
          <w:p>
            <w:r>
              <w:rPr>
                <w:sz w:val="18"/>
              </w:rPr>
              <w:t>InputDataset_ID</w:t>
            </w:r>
          </w:p>
        </w:tc>
        <w:tc>
          <w:tcPr>
            <w:tcW w:type="dxa" w:w="3135"/>
            <w:shd w:val="clear" w:color="auto" w:fill="EBF0F8"/>
          </w:tcPr>
          <w:p>
            <w:r>
              <w:rPr>
                <w:sz w:val="18"/>
              </w:rPr>
              <w:t>INT (FK)</w:t>
            </w:r>
          </w:p>
        </w:tc>
        <w:tc>
          <w:tcPr>
            <w:tcW w:type="dxa" w:w="3135"/>
            <w:shd w:val="clear" w:color="auto" w:fill="EBF0F8"/>
          </w:tcPr>
          <w:p>
            <w:r>
              <w:rPr>
                <w:sz w:val="18"/>
              </w:rPr>
              <w:t>Source dataset type (DatasetRef)</w:t>
            </w:r>
          </w:p>
        </w:tc>
      </w:tr>
      <w:tr>
        <w:tc>
          <w:tcPr>
            <w:tcW w:type="dxa" w:w="3135"/>
            <w:shd w:val="clear" w:color="auto" w:fill="FFFFFF"/>
          </w:tcPr>
          <w:p>
            <w:r>
              <w:rPr>
                <w:sz w:val="18"/>
              </w:rPr>
              <w:t>OutputDataset_ID</w:t>
            </w:r>
          </w:p>
        </w:tc>
        <w:tc>
          <w:tcPr>
            <w:tcW w:type="dxa" w:w="3135"/>
            <w:shd w:val="clear" w:color="auto" w:fill="FFFFFF"/>
          </w:tcPr>
          <w:p>
            <w:r>
              <w:rPr>
                <w:sz w:val="18"/>
              </w:rPr>
              <w:t>INT (FK)</w:t>
            </w:r>
          </w:p>
        </w:tc>
        <w:tc>
          <w:tcPr>
            <w:tcW w:type="dxa" w:w="3135"/>
            <w:shd w:val="clear" w:color="auto" w:fill="FFFFFF"/>
          </w:tcPr>
          <w:p>
            <w:r>
              <w:rPr>
                <w:sz w:val="18"/>
              </w:rPr>
              <w:t>Target dataset type (DatasetRef)</w:t>
            </w:r>
          </w:p>
        </w:tc>
      </w:tr>
      <w:tr>
        <w:tc>
          <w:tcPr>
            <w:tcW w:type="dxa" w:w="3135"/>
            <w:shd w:val="clear" w:color="auto" w:fill="EBF0F8"/>
          </w:tcPr>
          <w:p>
            <w:r>
              <w:rPr>
                <w:sz w:val="18"/>
              </w:rPr>
              <w:t>Input_colDelRefID</w:t>
            </w:r>
          </w:p>
        </w:tc>
        <w:tc>
          <w:tcPr>
            <w:tcW w:type="dxa" w:w="3135"/>
            <w:shd w:val="clear" w:color="auto" w:fill="EBF0F8"/>
          </w:tcPr>
          <w:p>
            <w:r>
              <w:rPr>
                <w:sz w:val="18"/>
              </w:rPr>
              <w:t>INT (FK)</w:t>
            </w:r>
          </w:p>
        </w:tc>
        <w:tc>
          <w:tcPr>
            <w:tcW w:type="dxa" w:w="3135"/>
            <w:shd w:val="clear" w:color="auto" w:fill="EBF0F8"/>
          </w:tcPr>
          <w:p>
            <w:r>
              <w:rPr>
                <w:sz w:val="18"/>
              </w:rPr>
              <w:t>Source column delimiter (colDelimitterRef)</w:t>
            </w:r>
          </w:p>
        </w:tc>
      </w:tr>
      <w:tr>
        <w:tc>
          <w:tcPr>
            <w:tcW w:type="dxa" w:w="3135"/>
            <w:shd w:val="clear" w:color="auto" w:fill="FFFFFF"/>
          </w:tcPr>
          <w:p>
            <w:r>
              <w:rPr>
                <w:sz w:val="18"/>
              </w:rPr>
              <w:t>Output_colDelRefID</w:t>
            </w:r>
          </w:p>
        </w:tc>
        <w:tc>
          <w:tcPr>
            <w:tcW w:type="dxa" w:w="3135"/>
            <w:shd w:val="clear" w:color="auto" w:fill="FFFFFF"/>
          </w:tcPr>
          <w:p>
            <w:r>
              <w:rPr>
                <w:sz w:val="18"/>
              </w:rPr>
              <w:t>INT (FK)</w:t>
            </w:r>
          </w:p>
        </w:tc>
        <w:tc>
          <w:tcPr>
            <w:tcW w:type="dxa" w:w="3135"/>
            <w:shd w:val="clear" w:color="auto" w:fill="FFFFFF"/>
          </w:tcPr>
          <w:p>
            <w:r>
              <w:rPr>
                <w:sz w:val="18"/>
              </w:rPr>
              <w:t>Target column delimiter (colDelimitterRef)</w:t>
            </w:r>
          </w:p>
        </w:tc>
      </w:tr>
      <w:tr>
        <w:tc>
          <w:tcPr>
            <w:tcW w:type="dxa" w:w="3135"/>
            <w:shd w:val="clear" w:color="auto" w:fill="EBF0F8"/>
          </w:tcPr>
          <w:p>
            <w:r>
              <w:rPr>
                <w:sz w:val="18"/>
              </w:rPr>
              <w:t>InputLinkedServiceConnectionID</w:t>
            </w:r>
          </w:p>
        </w:tc>
        <w:tc>
          <w:tcPr>
            <w:tcW w:type="dxa" w:w="3135"/>
            <w:shd w:val="clear" w:color="auto" w:fill="EBF0F8"/>
          </w:tcPr>
          <w:p>
            <w:r>
              <w:rPr>
                <w:sz w:val="18"/>
              </w:rPr>
              <w:t>INT (FK)</w:t>
            </w:r>
          </w:p>
        </w:tc>
        <w:tc>
          <w:tcPr>
            <w:tcW w:type="dxa" w:w="3135"/>
            <w:shd w:val="clear" w:color="auto" w:fill="EBF0F8"/>
          </w:tcPr>
          <w:p>
            <w:r>
              <w:rPr>
                <w:sz w:val="18"/>
              </w:rPr>
              <w:t>Source connection (LinkedServiceRef)</w:t>
            </w:r>
          </w:p>
        </w:tc>
      </w:tr>
      <w:tr>
        <w:tc>
          <w:tcPr>
            <w:tcW w:type="dxa" w:w="3135"/>
            <w:shd w:val="clear" w:color="auto" w:fill="FFFFFF"/>
          </w:tcPr>
          <w:p>
            <w:r>
              <w:rPr>
                <w:sz w:val="18"/>
              </w:rPr>
              <w:t>OutputLinkedServiceConnectionID</w:t>
            </w:r>
          </w:p>
        </w:tc>
        <w:tc>
          <w:tcPr>
            <w:tcW w:type="dxa" w:w="3135"/>
            <w:shd w:val="clear" w:color="auto" w:fill="FFFFFF"/>
          </w:tcPr>
          <w:p>
            <w:r>
              <w:rPr>
                <w:sz w:val="18"/>
              </w:rPr>
              <w:t>INT (FK)</w:t>
            </w:r>
          </w:p>
        </w:tc>
        <w:tc>
          <w:tcPr>
            <w:tcW w:type="dxa" w:w="3135"/>
            <w:shd w:val="clear" w:color="auto" w:fill="FFFFFF"/>
          </w:tcPr>
          <w:p>
            <w:r>
              <w:rPr>
                <w:sz w:val="18"/>
              </w:rPr>
              <w:t>Target connection (LinkedServiceRef)</w:t>
            </w:r>
          </w:p>
        </w:tc>
      </w:tr>
      <w:tr>
        <w:tc>
          <w:tcPr>
            <w:tcW w:type="dxa" w:w="3135"/>
            <w:shd w:val="clear" w:color="auto" w:fill="EBF0F8"/>
          </w:tcPr>
          <w:p>
            <w:r>
              <w:rPr>
                <w:sz w:val="18"/>
              </w:rPr>
              <w:t>MetadataSettingsInput</w:t>
            </w:r>
          </w:p>
        </w:tc>
        <w:tc>
          <w:tcPr>
            <w:tcW w:type="dxa" w:w="3135"/>
            <w:shd w:val="clear" w:color="auto" w:fill="EBF0F8"/>
          </w:tcPr>
          <w:p>
            <w:r>
              <w:rPr>
                <w:sz w:val="18"/>
              </w:rPr>
              <w:t>NVARCHAR(MAX) JSON</w:t>
            </w:r>
          </w:p>
        </w:tc>
        <w:tc>
          <w:tcPr>
            <w:tcW w:type="dxa" w:w="3135"/>
            <w:shd w:val="clear" w:color="auto" w:fill="EBF0F8"/>
          </w:tcPr>
          <w:p>
            <w:r>
              <w:rPr>
                <w:sz w:val="18"/>
              </w:rPr>
              <w:t>Runtime source params (container, path, query, schema, table)</w:t>
            </w:r>
          </w:p>
        </w:tc>
      </w:tr>
      <w:tr>
        <w:tc>
          <w:tcPr>
            <w:tcW w:type="dxa" w:w="3135"/>
            <w:shd w:val="clear" w:color="auto" w:fill="FFFFFF"/>
          </w:tcPr>
          <w:p>
            <w:r>
              <w:rPr>
                <w:sz w:val="18"/>
              </w:rPr>
              <w:t>MetadataSettingsOutput</w:t>
            </w:r>
          </w:p>
        </w:tc>
        <w:tc>
          <w:tcPr>
            <w:tcW w:type="dxa" w:w="3135"/>
            <w:shd w:val="clear" w:color="auto" w:fill="FFFFFF"/>
          </w:tcPr>
          <w:p>
            <w:r>
              <w:rPr>
                <w:sz w:val="18"/>
              </w:rPr>
              <w:t>NVARCHAR(MAX) JSON</w:t>
            </w:r>
          </w:p>
        </w:tc>
        <w:tc>
          <w:tcPr>
            <w:tcW w:type="dxa" w:w="3135"/>
            <w:shd w:val="clear" w:color="auto" w:fill="FFFFFF"/>
          </w:tcPr>
          <w:p>
            <w:r>
              <w:rPr>
                <w:sz w:val="18"/>
              </w:rPr>
              <w:t>Runtime target params (container, directory, filename)</w:t>
            </w:r>
          </w:p>
        </w:tc>
      </w:tr>
      <w:tr>
        <w:tc>
          <w:tcPr>
            <w:tcW w:type="dxa" w:w="3135"/>
            <w:shd w:val="clear" w:color="auto" w:fill="EBF0F8"/>
          </w:tcPr>
          <w:p>
            <w:r>
              <w:rPr>
                <w:sz w:val="18"/>
              </w:rPr>
              <w:t>ActivityType</w:t>
            </w:r>
          </w:p>
        </w:tc>
        <w:tc>
          <w:tcPr>
            <w:tcW w:type="dxa" w:w="3135"/>
            <w:shd w:val="clear" w:color="auto" w:fill="EBF0F8"/>
          </w:tcPr>
          <w:p>
            <w:r>
              <w:rPr>
                <w:sz w:val="18"/>
              </w:rPr>
              <w:t>NVARCHAR(20)</w:t>
            </w:r>
          </w:p>
        </w:tc>
        <w:tc>
          <w:tcPr>
            <w:tcW w:type="dxa" w:w="3135"/>
            <w:shd w:val="clear" w:color="auto" w:fill="EBF0F8"/>
          </w:tcPr>
          <w:p>
            <w:r>
              <w:rPr>
                <w:sz w:val="18"/>
              </w:rPr>
              <w:t>Ingress | Egress</w:t>
            </w:r>
          </w:p>
        </w:tc>
      </w:tr>
      <w:tr>
        <w:tc>
          <w:tcPr>
            <w:tcW w:type="dxa" w:w="3135"/>
            <w:shd w:val="clear" w:color="auto" w:fill="FFFFFF"/>
          </w:tcPr>
          <w:p>
            <w:r>
              <w:rPr>
                <w:sz w:val="18"/>
              </w:rPr>
              <w:t>IsActive</w:t>
            </w:r>
          </w:p>
        </w:tc>
        <w:tc>
          <w:tcPr>
            <w:tcW w:type="dxa" w:w="3135"/>
            <w:shd w:val="clear" w:color="auto" w:fill="FFFFFF"/>
          </w:tcPr>
          <w:p>
            <w:r>
              <w:rPr>
                <w:sz w:val="18"/>
              </w:rPr>
              <w:t>NVARCHAR(10)</w:t>
            </w:r>
          </w:p>
        </w:tc>
        <w:tc>
          <w:tcPr>
            <w:tcW w:type="dxa" w:w="3135"/>
            <w:shd w:val="clear" w:color="auto" w:fill="FFFFFF"/>
          </w:tcPr>
          <w:p>
            <w:r>
              <w:rPr>
                <w:sz w:val="18"/>
              </w:rPr>
              <w:t>Active | Inactive — master on/off switch</w:t>
            </w:r>
          </w:p>
        </w:tc>
      </w:tr>
      <w:tr>
        <w:tc>
          <w:tcPr>
            <w:tcW w:type="dxa" w:w="3135"/>
            <w:shd w:val="clear" w:color="auto" w:fill="EBF0F8"/>
          </w:tcPr>
          <w:p>
            <w:r>
              <w:rPr>
                <w:sz w:val="18"/>
              </w:rPr>
              <w:t>Load_Type</w:t>
            </w:r>
          </w:p>
        </w:tc>
        <w:tc>
          <w:tcPr>
            <w:tcW w:type="dxa" w:w="3135"/>
            <w:shd w:val="clear" w:color="auto" w:fill="EBF0F8"/>
          </w:tcPr>
          <w:p>
            <w:r>
              <w:rPr>
                <w:sz w:val="18"/>
              </w:rPr>
              <w:t>NVARCHAR(20)</w:t>
            </w:r>
          </w:p>
        </w:tc>
        <w:tc>
          <w:tcPr>
            <w:tcW w:type="dxa" w:w="3135"/>
            <w:shd w:val="clear" w:color="auto" w:fill="EBF0F8"/>
          </w:tcPr>
          <w:p>
            <w:r>
              <w:rPr>
                <w:sz w:val="18"/>
              </w:rPr>
              <w:t>Full_Refresh | Incremental</w:t>
            </w:r>
          </w:p>
        </w:tc>
      </w:tr>
      <w:tr>
        <w:tc>
          <w:tcPr>
            <w:tcW w:type="dxa" w:w="3135"/>
            <w:shd w:val="clear" w:color="auto" w:fill="FFFFFF"/>
          </w:tcPr>
          <w:p>
            <w:r>
              <w:rPr>
                <w:sz w:val="18"/>
              </w:rPr>
              <w:t>Watermark_ID</w:t>
            </w:r>
          </w:p>
        </w:tc>
        <w:tc>
          <w:tcPr>
            <w:tcW w:type="dxa" w:w="3135"/>
            <w:shd w:val="clear" w:color="auto" w:fill="FFFFFF"/>
          </w:tcPr>
          <w:p>
            <w:r>
              <w:rPr>
                <w:sz w:val="18"/>
              </w:rPr>
              <w:t>INT (FK, nullable)</w:t>
            </w:r>
          </w:p>
        </w:tc>
        <w:tc>
          <w:tcPr>
            <w:tcW w:type="dxa" w:w="3135"/>
            <w:shd w:val="clear" w:color="auto" w:fill="FFFFFF"/>
          </w:tcPr>
          <w:p>
            <w:r>
              <w:rPr>
                <w:sz w:val="18"/>
              </w:rPr>
              <w:t>NULL for Full Refresh; references Watermark table</w:t>
            </w:r>
          </w:p>
        </w:tc>
      </w:tr>
      <w:tr>
        <w:tc>
          <w:tcPr>
            <w:tcW w:type="dxa" w:w="3135"/>
            <w:shd w:val="clear" w:color="auto" w:fill="EBF0F8"/>
          </w:tcPr>
          <w:p>
            <w:r>
              <w:rPr>
                <w:sz w:val="18"/>
              </w:rPr>
              <w:t>Created_Date</w:t>
            </w:r>
          </w:p>
        </w:tc>
        <w:tc>
          <w:tcPr>
            <w:tcW w:type="dxa" w:w="3135"/>
            <w:shd w:val="clear" w:color="auto" w:fill="EBF0F8"/>
          </w:tcPr>
          <w:p>
            <w:r>
              <w:rPr>
                <w:sz w:val="18"/>
              </w:rPr>
              <w:t>DATETIME</w:t>
            </w:r>
          </w:p>
        </w:tc>
        <w:tc>
          <w:tcPr>
            <w:tcW w:type="dxa" w:w="3135"/>
            <w:shd w:val="clear" w:color="auto" w:fill="EBF0F8"/>
          </w:tcPr>
          <w:p>
            <w:r>
              <w:rPr>
                <w:sz w:val="18"/>
              </w:rPr>
              <w:t>Auto-set on insert</w:t>
            </w:r>
          </w:p>
        </w:tc>
      </w:tr>
      <w:tr>
        <w:tc>
          <w:tcPr>
            <w:tcW w:type="dxa" w:w="3135"/>
            <w:shd w:val="clear" w:color="auto" w:fill="FFFFFF"/>
          </w:tcPr>
          <w:p>
            <w:r>
              <w:rPr>
                <w:sz w:val="18"/>
              </w:rPr>
              <w:t>Modified_Date</w:t>
            </w:r>
          </w:p>
        </w:tc>
        <w:tc>
          <w:tcPr>
            <w:tcW w:type="dxa" w:w="3135"/>
            <w:shd w:val="clear" w:color="auto" w:fill="FFFFFF"/>
          </w:tcPr>
          <w:p>
            <w:r>
              <w:rPr>
                <w:sz w:val="18"/>
              </w:rPr>
              <w:t>DATETIME</w:t>
            </w:r>
          </w:p>
        </w:tc>
        <w:tc>
          <w:tcPr>
            <w:tcW w:type="dxa" w:w="3135"/>
            <w:shd w:val="clear" w:color="auto" w:fill="FFFFFF"/>
          </w:tcPr>
          <w:p>
            <w:r>
              <w:rPr>
                <w:sz w:val="18"/>
              </w:rPr>
              <w:t>Last modification timestamp</w:t>
            </w:r>
          </w:p>
        </w:tc>
      </w:tr>
      <w:tr>
        <w:tc>
          <w:tcPr>
            <w:tcW w:type="dxa" w:w="3135"/>
            <w:shd w:val="clear" w:color="auto" w:fill="EBF0F8"/>
          </w:tcPr>
          <w:p>
            <w:r>
              <w:rPr>
                <w:sz w:val="18"/>
              </w:rPr>
              <w:t>Modified_By</w:t>
            </w:r>
          </w:p>
        </w:tc>
        <w:tc>
          <w:tcPr>
            <w:tcW w:type="dxa" w:w="3135"/>
            <w:shd w:val="clear" w:color="auto" w:fill="EBF0F8"/>
          </w:tcPr>
          <w:p>
            <w:r>
              <w:rPr>
                <w:sz w:val="18"/>
              </w:rPr>
              <w:t>NVARCHAR(100)</w:t>
            </w:r>
          </w:p>
        </w:tc>
        <w:tc>
          <w:tcPr>
            <w:tcW w:type="dxa" w:w="3135"/>
            <w:shd w:val="clear" w:color="auto" w:fill="EBF0F8"/>
          </w:tcPr>
          <w:p>
            <w:r>
              <w:rPr>
                <w:sz w:val="18"/>
              </w:rPr>
              <w:t>Database user — auto-set via SUSER_SNAME()</w:t>
            </w:r>
          </w:p>
        </w:tc>
      </w:tr>
    </w:tbl>
    <w:p/>
    <w:p>
      <w:pPr>
        <w:pStyle w:val="Heading2"/>
      </w:pPr>
      <w:r>
        <w:t>Runtime View — MasterRef</w:t>
      </w:r>
    </w:p>
    <w:p>
      <w:pPr>
        <w:spacing w:before="0" w:after="120"/>
      </w:pPr>
      <w:r>
        <w:rPr>
          <w:b w:val="0"/>
          <w:i w:val="0"/>
        </w:rPr>
        <w:t>EDP_Metadata.MasterRef is a denormalized view that joins MetadataRef with all lookup tables. ADF's Lookup activity targets this view to retrieve the complete runtime configuration for a given Trigger_Name in a single query. Two computed columns are derived:</w:t>
      </w:r>
    </w:p>
    <w:p>
      <w:pPr>
        <w:pStyle w:val="ListBullet"/>
        <w:spacing w:after="60"/>
      </w:pPr>
      <w:r>
        <w:rPr>
          <w:sz w:val="20"/>
        </w:rPr>
        <w:t>Pipeline_Name — derived from source/target/load type/direction. Format: PL_{InputSource}_{OutputSource}_{FULL|INCREMENTAL}_{INGRESS|EGRESS}</w:t>
      </w:r>
    </w:p>
    <w:p>
      <w:pPr>
        <w:pStyle w:val="ListBullet"/>
        <w:spacing w:after="60"/>
      </w:pPr>
      <w:r>
        <w:rPr>
          <w:sz w:val="20"/>
        </w:rPr>
        <w:t>SwitchCaseRef — derived from linked service names and file formats. Used by the ADF Switch to select the correct Copy activity.</w:t>
      </w:r>
    </w:p>
    <w:p/>
    <w:p>
      <w:pPr>
        <w:pStyle w:val="Heading2"/>
      </w:pPr>
      <w:r>
        <w:t>Lookup Tables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B2238"/>
          </w:tcPr>
          <w:p>
            <w:r>
              <w:rPr>
                <w:b/>
                <w:color w:val="FFFFFF"/>
                <w:sz w:val="18"/>
              </w:rPr>
              <w:t>Table</w:t>
            </w:r>
          </w:p>
        </w:tc>
        <w:tc>
          <w:tcPr>
            <w:tcW w:type="dxa" w:w="3135"/>
            <w:shd w:val="clear" w:color="auto" w:fill="1B2238"/>
          </w:tcPr>
          <w:p>
            <w:r>
              <w:rPr>
                <w:b/>
                <w:color w:val="FFFFFF"/>
                <w:sz w:val="18"/>
              </w:rPr>
              <w:t>Purpose</w:t>
            </w:r>
          </w:p>
        </w:tc>
        <w:tc>
          <w:tcPr>
            <w:tcW w:type="dxa" w:w="3135"/>
            <w:shd w:val="clear" w:color="auto" w:fill="1B2238"/>
          </w:tcPr>
          <w:p>
            <w:r>
              <w:rPr>
                <w:b/>
                <w:color w:val="FFFFFF"/>
                <w:sz w:val="18"/>
              </w:rPr>
              <w:t>Key Columns</w:t>
            </w:r>
          </w:p>
        </w:tc>
      </w:tr>
      <w:tr>
        <w:tc>
          <w:tcPr>
            <w:tcW w:type="dxa" w:w="3135"/>
            <w:shd w:val="clear" w:color="auto" w:fill="FFFFFF"/>
          </w:tcPr>
          <w:p>
            <w:r>
              <w:rPr>
                <w:sz w:val="18"/>
              </w:rPr>
              <w:t>SourceRef</w:t>
            </w:r>
          </w:p>
        </w:tc>
        <w:tc>
          <w:tcPr>
            <w:tcW w:type="dxa" w:w="3135"/>
            <w:shd w:val="clear" w:color="auto" w:fill="FFFFFF"/>
          </w:tcPr>
          <w:p>
            <w:r>
              <w:rPr>
                <w:sz w:val="18"/>
              </w:rPr>
              <w:t>Registry of all supported data source types. Source_Ref is the short code used in naming.</w:t>
            </w:r>
          </w:p>
        </w:tc>
        <w:tc>
          <w:tcPr>
            <w:tcW w:type="dxa" w:w="3135"/>
            <w:shd w:val="clear" w:color="auto" w:fill="FFFFFF"/>
          </w:tcPr>
          <w:p>
            <w:r>
              <w:rPr>
                <w:sz w:val="18"/>
              </w:rPr>
              <w:t>Source, Source_Ref</w:t>
            </w:r>
          </w:p>
        </w:tc>
      </w:tr>
      <w:tr>
        <w:tc>
          <w:tcPr>
            <w:tcW w:type="dxa" w:w="3135"/>
            <w:shd w:val="clear" w:color="auto" w:fill="EBF0F8"/>
          </w:tcPr>
          <w:p>
            <w:r>
              <w:rPr>
                <w:sz w:val="18"/>
              </w:rPr>
              <w:t>FileFormat</w:t>
            </w:r>
          </w:p>
        </w:tc>
        <w:tc>
          <w:tcPr>
            <w:tcW w:type="dxa" w:w="3135"/>
            <w:shd w:val="clear" w:color="auto" w:fill="EBF0F8"/>
          </w:tcPr>
          <w:p>
            <w:r>
              <w:rPr>
                <w:sz w:val="18"/>
              </w:rPr>
              <w:t>Lookup of all supported file formats (CSV, Parquet, JSON, GZIP_CSV, ZIP_CSV, BINARY, etc.).</w:t>
            </w:r>
          </w:p>
        </w:tc>
        <w:tc>
          <w:tcPr>
            <w:tcW w:type="dxa" w:w="3135"/>
            <w:shd w:val="clear" w:color="auto" w:fill="EBF0F8"/>
          </w:tcPr>
          <w:p>
            <w:r>
              <w:rPr>
                <w:sz w:val="18"/>
              </w:rPr>
              <w:t>Format</w:t>
            </w:r>
          </w:p>
        </w:tc>
      </w:tr>
      <w:tr>
        <w:tc>
          <w:tcPr>
            <w:tcW w:type="dxa" w:w="3135"/>
            <w:shd w:val="clear" w:color="auto" w:fill="FFFFFF"/>
          </w:tcPr>
          <w:p>
            <w:r>
              <w:rPr>
                <w:sz w:val="18"/>
              </w:rPr>
              <w:t>DatasetRef</w:t>
            </w:r>
          </w:p>
        </w:tc>
        <w:tc>
          <w:tcPr>
            <w:tcW w:type="dxa" w:w="3135"/>
            <w:shd w:val="clear" w:color="auto" w:fill="FFFFFF"/>
          </w:tcPr>
          <w:p>
            <w:r>
              <w:rPr>
                <w:sz w:val="18"/>
              </w:rPr>
              <w:t>Unique Source + FileFormat combinations. Named DS_{Source_Ref}_{Format}.</w:t>
            </w:r>
          </w:p>
        </w:tc>
        <w:tc>
          <w:tcPr>
            <w:tcW w:type="dxa" w:w="3135"/>
            <w:shd w:val="clear" w:color="auto" w:fill="FFFFFF"/>
          </w:tcPr>
          <w:p>
            <w:r>
              <w:rPr>
                <w:sz w:val="18"/>
              </w:rPr>
              <w:t>Dataset_Name, Source_ID, FileFormat_ID</w:t>
            </w:r>
          </w:p>
        </w:tc>
      </w:tr>
      <w:tr>
        <w:tc>
          <w:tcPr>
            <w:tcW w:type="dxa" w:w="3135"/>
            <w:shd w:val="clear" w:color="auto" w:fill="EBF0F8"/>
          </w:tcPr>
          <w:p>
            <w:r>
              <w:rPr>
                <w:sz w:val="18"/>
              </w:rPr>
              <w:t>LinkedServiceRef</w:t>
            </w:r>
          </w:p>
        </w:tc>
        <w:tc>
          <w:tcPr>
            <w:tcW w:type="dxa" w:w="3135"/>
            <w:shd w:val="clear" w:color="auto" w:fill="EBF0F8"/>
          </w:tcPr>
          <w:p>
            <w:r>
              <w:rPr>
                <w:sz w:val="18"/>
              </w:rPr>
              <w:t>Catalogue of all ADF linked services. JSON connection string templates resolved at runtime. Named LS_{Source_Ref}_{Auth_Ref}.</w:t>
            </w:r>
          </w:p>
        </w:tc>
        <w:tc>
          <w:tcPr>
            <w:tcW w:type="dxa" w:w="3135"/>
            <w:shd w:val="clear" w:color="auto" w:fill="EBF0F8"/>
          </w:tcPr>
          <w:p>
            <w:r>
              <w:rPr>
                <w:sz w:val="18"/>
              </w:rPr>
              <w:t>LinkedServiceName, LinkedServiceConnectionString</w:t>
            </w:r>
          </w:p>
        </w:tc>
      </w:tr>
      <w:tr>
        <w:tc>
          <w:tcPr>
            <w:tcW w:type="dxa" w:w="3135"/>
            <w:shd w:val="clear" w:color="auto" w:fill="FFFFFF"/>
          </w:tcPr>
          <w:p>
            <w:r>
              <w:rPr>
                <w:sz w:val="18"/>
              </w:rPr>
              <w:t>SystemAuth</w:t>
            </w:r>
          </w:p>
        </w:tc>
        <w:tc>
          <w:tcPr>
            <w:tcW w:type="dxa" w:w="3135"/>
            <w:shd w:val="clear" w:color="auto" w:fill="FFFFFF"/>
          </w:tcPr>
          <w:p>
            <w:r>
              <w:rPr>
                <w:sz w:val="18"/>
              </w:rPr>
              <w:t>Registry of supported authentication types. Connectors column records applicable source types.</w:t>
            </w:r>
          </w:p>
        </w:tc>
        <w:tc>
          <w:tcPr>
            <w:tcW w:type="dxa" w:w="3135"/>
            <w:shd w:val="clear" w:color="auto" w:fill="FFFFFF"/>
          </w:tcPr>
          <w:p>
            <w:r>
              <w:rPr>
                <w:sz w:val="18"/>
              </w:rPr>
              <w:t>Authentication_Type, Auth_Ref, Connectors</w:t>
            </w:r>
          </w:p>
        </w:tc>
      </w:tr>
      <w:tr>
        <w:tc>
          <w:tcPr>
            <w:tcW w:type="dxa" w:w="3135"/>
            <w:shd w:val="clear" w:color="auto" w:fill="EBF0F8"/>
          </w:tcPr>
          <w:p>
            <w:r>
              <w:rPr>
                <w:sz w:val="18"/>
              </w:rPr>
              <w:t>BusinessDomainRef</w:t>
            </w:r>
          </w:p>
        </w:tc>
        <w:tc>
          <w:tcPr>
            <w:tcW w:type="dxa" w:w="3135"/>
            <w:shd w:val="clear" w:color="auto" w:fill="EBF0F8"/>
          </w:tcPr>
          <w:p>
            <w:r>
              <w:rPr>
                <w:sz w:val="18"/>
              </w:rPr>
              <w:t>Business domain classification. Every ingestion job is classified by its owning business function.</w:t>
            </w:r>
          </w:p>
        </w:tc>
        <w:tc>
          <w:tcPr>
            <w:tcW w:type="dxa" w:w="3135"/>
            <w:shd w:val="clear" w:color="auto" w:fill="EBF0F8"/>
          </w:tcPr>
          <w:p>
            <w:r>
              <w:rPr>
                <w:sz w:val="18"/>
              </w:rPr>
              <w:t>Business_Domain_Name</w:t>
            </w:r>
          </w:p>
        </w:tc>
      </w:tr>
      <w:tr>
        <w:tc>
          <w:tcPr>
            <w:tcW w:type="dxa" w:w="3135"/>
            <w:shd w:val="clear" w:color="auto" w:fill="FFFFFF"/>
          </w:tcPr>
          <w:p>
            <w:r>
              <w:rPr>
                <w:sz w:val="18"/>
              </w:rPr>
              <w:t>colDelimitterRef</w:t>
            </w:r>
          </w:p>
        </w:tc>
        <w:tc>
          <w:tcPr>
            <w:tcW w:type="dxa" w:w="3135"/>
            <w:shd w:val="clear" w:color="auto" w:fill="FFFFFF"/>
          </w:tcPr>
          <w:p>
            <w:r>
              <w:rPr>
                <w:sz w:val="18"/>
              </w:rPr>
              <w:t>Column delimiter reference. Seeded: Comma, Semicolon, Pipe, Tab, SOH, No Delimiter.</w:t>
            </w:r>
          </w:p>
        </w:tc>
        <w:tc>
          <w:tcPr>
            <w:tcW w:type="dxa" w:w="3135"/>
            <w:shd w:val="clear" w:color="auto" w:fill="FFFFFF"/>
          </w:tcPr>
          <w:p>
            <w:r>
              <w:rPr>
                <w:sz w:val="18"/>
              </w:rPr>
              <w:t>colDelRefName, colDelRefValue</w:t>
            </w:r>
          </w:p>
        </w:tc>
      </w:tr>
      <w:tr>
        <w:tc>
          <w:tcPr>
            <w:tcW w:type="dxa" w:w="3135"/>
            <w:shd w:val="clear" w:color="auto" w:fill="EBF0F8"/>
          </w:tcPr>
          <w:p>
            <w:r>
              <w:rPr>
                <w:sz w:val="18"/>
              </w:rPr>
              <w:t>Watermark</w:t>
            </w:r>
          </w:p>
        </w:tc>
        <w:tc>
          <w:tcPr>
            <w:tcW w:type="dxa" w:w="3135"/>
            <w:shd w:val="clear" w:color="auto" w:fill="EBF0F8"/>
          </w:tcPr>
          <w:p>
            <w:r>
              <w:rPr>
                <w:sz w:val="18"/>
              </w:rPr>
              <w:t>High-water mark per incremental job. Watermark_Value (DATETIME) updated after each successful run.</w:t>
            </w:r>
          </w:p>
        </w:tc>
        <w:tc>
          <w:tcPr>
            <w:tcW w:type="dxa" w:w="3135"/>
            <w:shd w:val="clear" w:color="auto" w:fill="EBF0F8"/>
          </w:tcPr>
          <w:p>
            <w:r>
              <w:rPr>
                <w:sz w:val="18"/>
              </w:rPr>
              <w:t>Watermark_Value, Watermark_Column</w:t>
            </w:r>
          </w:p>
        </w:tc>
      </w:tr>
    </w:tbl>
    <w:p/>
    <w:p>
      <w:pPr>
        <w:pStyle w:val="Heading1"/>
      </w:pPr>
      <w:r>
        <w:rPr>
          <w:color w:val="0B68B0"/>
        </w:rPr>
        <w:t>06 — Pipeline Catalog</w:t>
      </w:r>
    </w:p>
    <w:p>
      <w:pPr>
        <w:spacing w:before="0" w:after="120"/>
      </w:pPr>
      <w:r>
        <w:rPr>
          <w:b w:val="0"/>
          <w:i w:val="0"/>
        </w:rPr>
        <w:t>Five generic pipelines are deployed in adfclaude01, all grouped under the Ingress folder in ADF Studio. Each pipeline is driven entirely by metadata. The only pipeline-level parameter across all five is TriggerName, which scopes the Lookup to the correct set of jobs.</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val="clear" w:color="auto" w:fill="1B2238"/>
          </w:tcPr>
          <w:p>
            <w:r>
              <w:rPr>
                <w:b/>
                <w:color w:val="FFFFFF"/>
                <w:sz w:val="18"/>
              </w:rPr>
              <w:t>Pipeline</w:t>
            </w:r>
          </w:p>
        </w:tc>
        <w:tc>
          <w:tcPr>
            <w:tcW w:type="dxa" w:w="1568"/>
            <w:shd w:val="clear" w:color="auto" w:fill="1B2238"/>
          </w:tcPr>
          <w:p>
            <w:r>
              <w:rPr>
                <w:b/>
                <w:color w:val="FFFFFF"/>
                <w:sz w:val="18"/>
              </w:rPr>
              <w:t>Source</w:t>
            </w:r>
          </w:p>
        </w:tc>
        <w:tc>
          <w:tcPr>
            <w:tcW w:type="dxa" w:w="1568"/>
            <w:shd w:val="clear" w:color="auto" w:fill="1B2238"/>
          </w:tcPr>
          <w:p>
            <w:r>
              <w:rPr>
                <w:b/>
                <w:color w:val="FFFFFF"/>
                <w:sz w:val="18"/>
              </w:rPr>
              <w:t>Target</w:t>
            </w:r>
          </w:p>
        </w:tc>
        <w:tc>
          <w:tcPr>
            <w:tcW w:type="dxa" w:w="1568"/>
            <w:shd w:val="clear" w:color="auto" w:fill="1B2238"/>
          </w:tcPr>
          <w:p>
            <w:r>
              <w:rPr>
                <w:b/>
                <w:color w:val="FFFFFF"/>
                <w:sz w:val="18"/>
              </w:rPr>
              <w:t>Load Type</w:t>
            </w:r>
          </w:p>
        </w:tc>
        <w:tc>
          <w:tcPr>
            <w:tcW w:type="dxa" w:w="1568"/>
            <w:shd w:val="clear" w:color="auto" w:fill="1B2238"/>
          </w:tcPr>
          <w:p>
            <w:r>
              <w:rPr>
                <w:b/>
                <w:color w:val="FFFFFF"/>
                <w:sz w:val="18"/>
              </w:rPr>
              <w:t>Switches / Cases</w:t>
            </w:r>
          </w:p>
        </w:tc>
        <w:tc>
          <w:tcPr>
            <w:tcW w:type="dxa" w:w="1568"/>
            <w:shd w:val="clear" w:color="auto" w:fill="1B2238"/>
          </w:tcPr>
          <w:p>
            <w:r>
              <w:rPr>
                <w:b/>
                <w:color w:val="FFFFFF"/>
                <w:sz w:val="18"/>
              </w:rPr>
              <w:t>ForEach Activities</w:t>
            </w:r>
          </w:p>
        </w:tc>
      </w:tr>
      <w:tr>
        <w:tc>
          <w:tcPr>
            <w:tcW w:type="dxa" w:w="1568"/>
            <w:shd w:val="clear" w:color="auto" w:fill="FFFFFF"/>
          </w:tcPr>
          <w:p>
            <w:r>
              <w:rPr>
                <w:sz w:val="18"/>
              </w:rPr>
              <w:t>PL_ASQL_ADLS_FULL_INGRESS</w:t>
            </w:r>
          </w:p>
        </w:tc>
        <w:tc>
          <w:tcPr>
            <w:tcW w:type="dxa" w:w="1568"/>
            <w:shd w:val="clear" w:color="auto" w:fill="FFFFFF"/>
          </w:tcPr>
          <w:p>
            <w:r>
              <w:rPr>
                <w:sz w:val="18"/>
              </w:rPr>
              <w:t>Azure SQL</w:t>
            </w:r>
          </w:p>
        </w:tc>
        <w:tc>
          <w:tcPr>
            <w:tcW w:type="dxa" w:w="1568"/>
            <w:shd w:val="clear" w:color="auto" w:fill="FFFFFF"/>
          </w:tcPr>
          <w:p>
            <w:r>
              <w:rPr>
                <w:sz w:val="18"/>
              </w:rPr>
              <w:t>ADLS Gen2</w:t>
            </w:r>
          </w:p>
        </w:tc>
        <w:tc>
          <w:tcPr>
            <w:tcW w:type="dxa" w:w="1568"/>
            <w:shd w:val="clear" w:color="auto" w:fill="FFFFFF"/>
          </w:tcPr>
          <w:p>
            <w:r>
              <w:rPr>
                <w:sz w:val="18"/>
              </w:rPr>
              <w:t>Full Refresh</w:t>
            </w:r>
          </w:p>
        </w:tc>
        <w:tc>
          <w:tcPr>
            <w:tcW w:type="dxa" w:w="1568"/>
            <w:shd w:val="clear" w:color="auto" w:fill="FFFFFF"/>
          </w:tcPr>
          <w:p>
            <w:r>
              <w:rPr>
                <w:sz w:val="18"/>
              </w:rPr>
              <w:t>1 Switch, 3 cases</w:t>
            </w:r>
          </w:p>
        </w:tc>
        <w:tc>
          <w:tcPr>
            <w:tcW w:type="dxa" w:w="1568"/>
            <w:shd w:val="clear" w:color="auto" w:fill="FFFFFF"/>
          </w:tcPr>
          <w:p>
            <w:r>
              <w:rPr>
                <w:sz w:val="18"/>
              </w:rPr>
              <w:t>1 Copy per case</w:t>
            </w:r>
          </w:p>
        </w:tc>
      </w:tr>
      <w:tr>
        <w:tc>
          <w:tcPr>
            <w:tcW w:type="dxa" w:w="1568"/>
            <w:shd w:val="clear" w:color="auto" w:fill="EBF0F8"/>
          </w:tcPr>
          <w:p>
            <w:r>
              <w:rPr>
                <w:sz w:val="18"/>
              </w:rPr>
              <w:t>PL_ASQL_ADLS_INCREMENTAL_INGRESS</w:t>
            </w:r>
          </w:p>
        </w:tc>
        <w:tc>
          <w:tcPr>
            <w:tcW w:type="dxa" w:w="1568"/>
            <w:shd w:val="clear" w:color="auto" w:fill="EBF0F8"/>
          </w:tcPr>
          <w:p>
            <w:r>
              <w:rPr>
                <w:sz w:val="18"/>
              </w:rPr>
              <w:t>Azure SQL</w:t>
            </w:r>
          </w:p>
        </w:tc>
        <w:tc>
          <w:tcPr>
            <w:tcW w:type="dxa" w:w="1568"/>
            <w:shd w:val="clear" w:color="auto" w:fill="EBF0F8"/>
          </w:tcPr>
          <w:p>
            <w:r>
              <w:rPr>
                <w:sz w:val="18"/>
              </w:rPr>
              <w:t>ADLS Gen2</w:t>
            </w:r>
          </w:p>
        </w:tc>
        <w:tc>
          <w:tcPr>
            <w:tcW w:type="dxa" w:w="1568"/>
            <w:shd w:val="clear" w:color="auto" w:fill="EBF0F8"/>
          </w:tcPr>
          <w:p>
            <w:r>
              <w:rPr>
                <w:sz w:val="18"/>
              </w:rPr>
              <w:t>Incremental</w:t>
            </w:r>
          </w:p>
        </w:tc>
        <w:tc>
          <w:tcPr>
            <w:tcW w:type="dxa" w:w="1568"/>
            <w:shd w:val="clear" w:color="auto" w:fill="EBF0F8"/>
          </w:tcPr>
          <w:p>
            <w:r>
              <w:rPr>
                <w:sz w:val="18"/>
              </w:rPr>
              <w:t>1 Switch, 3 cases</w:t>
            </w:r>
          </w:p>
        </w:tc>
        <w:tc>
          <w:tcPr>
            <w:tcW w:type="dxa" w:w="1568"/>
            <w:shd w:val="clear" w:color="auto" w:fill="EBF0F8"/>
          </w:tcPr>
          <w:p>
            <w:r>
              <w:rPr>
                <w:sz w:val="18"/>
              </w:rPr>
              <w:t>Validate_Watermark (sibling) + Copy + Update_Watermark</w:t>
            </w:r>
          </w:p>
        </w:tc>
      </w:tr>
      <w:tr>
        <w:tc>
          <w:tcPr>
            <w:tcW w:type="dxa" w:w="1568"/>
            <w:shd w:val="clear" w:color="auto" w:fill="FFFFFF"/>
          </w:tcPr>
          <w:p>
            <w:r>
              <w:rPr>
                <w:sz w:val="18"/>
              </w:rPr>
              <w:t>PL_ADLS_ADLS_FULL_INGRESS</w:t>
            </w:r>
          </w:p>
        </w:tc>
        <w:tc>
          <w:tcPr>
            <w:tcW w:type="dxa" w:w="1568"/>
            <w:shd w:val="clear" w:color="auto" w:fill="FFFFFF"/>
          </w:tcPr>
          <w:p>
            <w:r>
              <w:rPr>
                <w:sz w:val="18"/>
              </w:rPr>
              <w:t>ADLS Gen2</w:t>
            </w:r>
          </w:p>
        </w:tc>
        <w:tc>
          <w:tcPr>
            <w:tcW w:type="dxa" w:w="1568"/>
            <w:shd w:val="clear" w:color="auto" w:fill="FFFFFF"/>
          </w:tcPr>
          <w:p>
            <w:r>
              <w:rPr>
                <w:sz w:val="18"/>
              </w:rPr>
              <w:t>ADLS Gen2</w:t>
            </w:r>
          </w:p>
        </w:tc>
        <w:tc>
          <w:tcPr>
            <w:tcW w:type="dxa" w:w="1568"/>
            <w:shd w:val="clear" w:color="auto" w:fill="FFFFFF"/>
          </w:tcPr>
          <w:p>
            <w:r>
              <w:rPr>
                <w:sz w:val="18"/>
              </w:rPr>
              <w:t>Full Refresh</w:t>
            </w:r>
          </w:p>
        </w:tc>
        <w:tc>
          <w:tcPr>
            <w:tcW w:type="dxa" w:w="1568"/>
            <w:shd w:val="clear" w:color="auto" w:fill="FFFFFF"/>
          </w:tcPr>
          <w:p>
            <w:r>
              <w:rPr>
                <w:sz w:val="18"/>
              </w:rPr>
              <w:t>2 Switches, 28 cases</w:t>
            </w:r>
          </w:p>
        </w:tc>
        <w:tc>
          <w:tcPr>
            <w:tcW w:type="dxa" w:w="1568"/>
            <w:shd w:val="clear" w:color="auto" w:fill="FFFFFF"/>
          </w:tcPr>
          <w:p>
            <w:r>
              <w:rPr>
                <w:sz w:val="18"/>
              </w:rPr>
              <w:t>1 Copy per case</w:t>
            </w:r>
          </w:p>
        </w:tc>
      </w:tr>
      <w:tr>
        <w:tc>
          <w:tcPr>
            <w:tcW w:type="dxa" w:w="1568"/>
            <w:shd w:val="clear" w:color="auto" w:fill="EBF0F8"/>
          </w:tcPr>
          <w:p>
            <w:r>
              <w:rPr>
                <w:sz w:val="18"/>
              </w:rPr>
              <w:t>PL_ADLS_ADLS_INCREMENTAL_INGRESS</w:t>
            </w:r>
          </w:p>
        </w:tc>
        <w:tc>
          <w:tcPr>
            <w:tcW w:type="dxa" w:w="1568"/>
            <w:shd w:val="clear" w:color="auto" w:fill="EBF0F8"/>
          </w:tcPr>
          <w:p>
            <w:r>
              <w:rPr>
                <w:sz w:val="18"/>
              </w:rPr>
              <w:t>ADLS Gen2</w:t>
            </w:r>
          </w:p>
        </w:tc>
        <w:tc>
          <w:tcPr>
            <w:tcW w:type="dxa" w:w="1568"/>
            <w:shd w:val="clear" w:color="auto" w:fill="EBF0F8"/>
          </w:tcPr>
          <w:p>
            <w:r>
              <w:rPr>
                <w:sz w:val="18"/>
              </w:rPr>
              <w:t>ADLS Gen2</w:t>
            </w:r>
          </w:p>
        </w:tc>
        <w:tc>
          <w:tcPr>
            <w:tcW w:type="dxa" w:w="1568"/>
            <w:shd w:val="clear" w:color="auto" w:fill="EBF0F8"/>
          </w:tcPr>
          <w:p>
            <w:r>
              <w:rPr>
                <w:sz w:val="18"/>
              </w:rPr>
              <w:t>Incremental</w:t>
            </w:r>
          </w:p>
        </w:tc>
        <w:tc>
          <w:tcPr>
            <w:tcW w:type="dxa" w:w="1568"/>
            <w:shd w:val="clear" w:color="auto" w:fill="EBF0F8"/>
          </w:tcPr>
          <w:p>
            <w:r>
              <w:rPr>
                <w:sz w:val="18"/>
              </w:rPr>
              <w:t>2 Switches, 28 cases</w:t>
            </w:r>
          </w:p>
        </w:tc>
        <w:tc>
          <w:tcPr>
            <w:tcW w:type="dxa" w:w="1568"/>
            <w:shd w:val="clear" w:color="auto" w:fill="EBF0F8"/>
          </w:tcPr>
          <w:p>
            <w:r>
              <w:rPr>
                <w:sz w:val="18"/>
              </w:rPr>
              <w:t>Validate_Watermark (sibling) + Copy + Update_Watermark</w:t>
            </w:r>
          </w:p>
        </w:tc>
      </w:tr>
      <w:tr>
        <w:tc>
          <w:tcPr>
            <w:tcW w:type="dxa" w:w="1568"/>
            <w:shd w:val="clear" w:color="auto" w:fill="FFFFFF"/>
          </w:tcPr>
          <w:p>
            <w:r>
              <w:rPr>
                <w:sz w:val="18"/>
              </w:rPr>
              <w:t>PL_REST_ADLS_FULL_INGRESS</w:t>
            </w:r>
          </w:p>
        </w:tc>
        <w:tc>
          <w:tcPr>
            <w:tcW w:type="dxa" w:w="1568"/>
            <w:shd w:val="clear" w:color="auto" w:fill="FFFFFF"/>
          </w:tcPr>
          <w:p>
            <w:r>
              <w:rPr>
                <w:sz w:val="18"/>
              </w:rPr>
              <w:t>REST API</w:t>
            </w:r>
          </w:p>
        </w:tc>
        <w:tc>
          <w:tcPr>
            <w:tcW w:type="dxa" w:w="1568"/>
            <w:shd w:val="clear" w:color="auto" w:fill="FFFFFF"/>
          </w:tcPr>
          <w:p>
            <w:r>
              <w:rPr>
                <w:sz w:val="18"/>
              </w:rPr>
              <w:t>ADLS Gen2</w:t>
            </w:r>
          </w:p>
        </w:tc>
        <w:tc>
          <w:tcPr>
            <w:tcW w:type="dxa" w:w="1568"/>
            <w:shd w:val="clear" w:color="auto" w:fill="FFFFFF"/>
          </w:tcPr>
          <w:p>
            <w:r>
              <w:rPr>
                <w:sz w:val="18"/>
              </w:rPr>
              <w:t>Full Refresh</w:t>
            </w:r>
          </w:p>
        </w:tc>
        <w:tc>
          <w:tcPr>
            <w:tcW w:type="dxa" w:w="1568"/>
            <w:shd w:val="clear" w:color="auto" w:fill="FFFFFF"/>
          </w:tcPr>
          <w:p>
            <w:r>
              <w:rPr>
                <w:sz w:val="18"/>
              </w:rPr>
              <w:t>1 Switch, 1 case</w:t>
            </w:r>
          </w:p>
        </w:tc>
        <w:tc>
          <w:tcPr>
            <w:tcW w:type="dxa" w:w="1568"/>
            <w:shd w:val="clear" w:color="auto" w:fill="FFFFFF"/>
          </w:tcPr>
          <w:p>
            <w:r>
              <w:rPr>
                <w:sz w:val="18"/>
              </w:rPr>
              <w:t>1 Copy per case (raw JSON landing, no transformation)</w:t>
            </w:r>
          </w:p>
        </w:tc>
      </w:tr>
    </w:tbl>
    <w:p/>
    <w:p>
      <w:pPr>
        <w:pStyle w:val="Heading2"/>
      </w:pPr>
      <w:r>
        <w:t>ADLS Pipeline Switch Cases (28 total, split across 2 Switch activities)</w:t>
      </w:r>
    </w:p>
    <w:p>
      <w:pPr>
        <w:spacing w:before="0" w:after="120"/>
      </w:pPr>
      <w:r>
        <w:rPr>
          <w:b w:val="0"/>
          <w:i w:val="0"/>
        </w:rPr>
        <w:t>ADF enforces a hard limit of 25 cases per Switch activity. The ADLS pipelines use two sibling Switch activities inside ForEach: Switch_OutputFormat (10 uncompressed cases) and Switch_OutputFormat_Compressed (18 compressed/binary cases). Each Switch has an empty default so a SwitchCaseRef destined for the other Switch is a silent no-op.</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B2238"/>
          </w:tcPr>
          <w:p>
            <w:r>
              <w:rPr>
                <w:b/>
                <w:color w:val="FFFFFF"/>
                <w:sz w:val="18"/>
              </w:rPr>
              <w:t>Source Format</w:t>
            </w:r>
          </w:p>
        </w:tc>
        <w:tc>
          <w:tcPr>
            <w:tcW w:type="dxa" w:w="2351"/>
            <w:shd w:val="clear" w:color="auto" w:fill="1B2238"/>
          </w:tcPr>
          <w:p>
            <w:r>
              <w:rPr>
                <w:b/>
                <w:color w:val="FFFFFF"/>
                <w:sz w:val="18"/>
              </w:rPr>
              <w:t>Target Formats</w:t>
            </w:r>
          </w:p>
        </w:tc>
        <w:tc>
          <w:tcPr>
            <w:tcW w:type="dxa" w:w="2351"/>
            <w:shd w:val="clear" w:color="auto" w:fill="1B2238"/>
          </w:tcPr>
          <w:p>
            <w:r>
              <w:rPr>
                <w:b/>
                <w:color w:val="FFFFFF"/>
                <w:sz w:val="18"/>
              </w:rPr>
              <w:t>Cases</w:t>
            </w:r>
          </w:p>
        </w:tc>
        <w:tc>
          <w:tcPr>
            <w:tcW w:type="dxa" w:w="2351"/>
            <w:shd w:val="clear" w:color="auto" w:fill="1B2238"/>
          </w:tcPr>
          <w:p>
            <w:r>
              <w:rPr>
                <w:b/>
                <w:color w:val="FFFFFF"/>
                <w:sz w:val="18"/>
              </w:rPr>
              <w:t>Source Dataset</w:t>
            </w:r>
          </w:p>
        </w:tc>
      </w:tr>
      <w:tr>
        <w:tc>
          <w:tcPr>
            <w:tcW w:type="dxa" w:w="2351"/>
            <w:shd w:val="clear" w:color="auto" w:fill="FFFFFF"/>
          </w:tcPr>
          <w:p>
            <w:r>
              <w:rPr>
                <w:sz w:val="18"/>
              </w:rPr>
              <w:t>CSV (uncompressed)</w:t>
            </w:r>
          </w:p>
        </w:tc>
        <w:tc>
          <w:tcPr>
            <w:tcW w:type="dxa" w:w="2351"/>
            <w:shd w:val="clear" w:color="auto" w:fill="FFFFFF"/>
          </w:tcPr>
          <w:p>
            <w:r>
              <w:rPr>
                <w:sz w:val="18"/>
              </w:rPr>
              <w:t>CSV, Parquet, JSON</w:t>
            </w:r>
          </w:p>
        </w:tc>
        <w:tc>
          <w:tcPr>
            <w:tcW w:type="dxa" w:w="2351"/>
            <w:shd w:val="clear" w:color="auto" w:fill="FFFFFF"/>
          </w:tcPr>
          <w:p>
            <w:r>
              <w:rPr>
                <w:sz w:val="18"/>
              </w:rPr>
              <w:t>3</w:t>
            </w:r>
          </w:p>
        </w:tc>
        <w:tc>
          <w:tcPr>
            <w:tcW w:type="dxa" w:w="2351"/>
            <w:shd w:val="clear" w:color="auto" w:fill="FFFFFF"/>
          </w:tcPr>
          <w:p>
            <w:r>
              <w:rPr>
                <w:sz w:val="18"/>
              </w:rPr>
              <w:t>DS_ADLS_CSV</w:t>
            </w:r>
          </w:p>
        </w:tc>
      </w:tr>
      <w:tr>
        <w:tc>
          <w:tcPr>
            <w:tcW w:type="dxa" w:w="2351"/>
            <w:shd w:val="clear" w:color="auto" w:fill="EBF0F8"/>
          </w:tcPr>
          <w:p>
            <w:r>
              <w:rPr>
                <w:sz w:val="18"/>
              </w:rPr>
              <w:t>Parquet (uncompressed)</w:t>
            </w:r>
          </w:p>
        </w:tc>
        <w:tc>
          <w:tcPr>
            <w:tcW w:type="dxa" w:w="2351"/>
            <w:shd w:val="clear" w:color="auto" w:fill="EBF0F8"/>
          </w:tcPr>
          <w:p>
            <w:r>
              <w:rPr>
                <w:sz w:val="18"/>
              </w:rPr>
              <w:t>CSV, Parquet, JSON</w:t>
            </w:r>
          </w:p>
        </w:tc>
        <w:tc>
          <w:tcPr>
            <w:tcW w:type="dxa" w:w="2351"/>
            <w:shd w:val="clear" w:color="auto" w:fill="EBF0F8"/>
          </w:tcPr>
          <w:p>
            <w:r>
              <w:rPr>
                <w:sz w:val="18"/>
              </w:rPr>
              <w:t>3</w:t>
            </w:r>
          </w:p>
        </w:tc>
        <w:tc>
          <w:tcPr>
            <w:tcW w:type="dxa" w:w="2351"/>
            <w:shd w:val="clear" w:color="auto" w:fill="EBF0F8"/>
          </w:tcPr>
          <w:p>
            <w:r>
              <w:rPr>
                <w:sz w:val="18"/>
              </w:rPr>
              <w:t>DS_ADLS_PARQUET</w:t>
            </w:r>
          </w:p>
        </w:tc>
      </w:tr>
      <w:tr>
        <w:tc>
          <w:tcPr>
            <w:tcW w:type="dxa" w:w="2351"/>
            <w:shd w:val="clear" w:color="auto" w:fill="FFFFFF"/>
          </w:tcPr>
          <w:p>
            <w:r>
              <w:rPr>
                <w:sz w:val="18"/>
              </w:rPr>
              <w:t>JSON (uncompressed)</w:t>
            </w:r>
          </w:p>
        </w:tc>
        <w:tc>
          <w:tcPr>
            <w:tcW w:type="dxa" w:w="2351"/>
            <w:shd w:val="clear" w:color="auto" w:fill="FFFFFF"/>
          </w:tcPr>
          <w:p>
            <w:r>
              <w:rPr>
                <w:sz w:val="18"/>
              </w:rPr>
              <w:t>CSV, Parquet, JSON</w:t>
            </w:r>
          </w:p>
        </w:tc>
        <w:tc>
          <w:tcPr>
            <w:tcW w:type="dxa" w:w="2351"/>
            <w:shd w:val="clear" w:color="auto" w:fill="FFFFFF"/>
          </w:tcPr>
          <w:p>
            <w:r>
              <w:rPr>
                <w:sz w:val="18"/>
              </w:rPr>
              <w:t>3</w:t>
            </w:r>
          </w:p>
        </w:tc>
        <w:tc>
          <w:tcPr>
            <w:tcW w:type="dxa" w:w="2351"/>
            <w:shd w:val="clear" w:color="auto" w:fill="FFFFFF"/>
          </w:tcPr>
          <w:p>
            <w:r>
              <w:rPr>
                <w:sz w:val="18"/>
              </w:rPr>
              <w:t>DS_ADLS_JSON</w:t>
            </w:r>
          </w:p>
        </w:tc>
      </w:tr>
      <w:tr>
        <w:tc>
          <w:tcPr>
            <w:tcW w:type="dxa" w:w="2351"/>
            <w:shd w:val="clear" w:color="auto" w:fill="EBF0F8"/>
          </w:tcPr>
          <w:p>
            <w:r>
              <w:rPr>
                <w:sz w:val="18"/>
              </w:rPr>
              <w:t>GZIP-compressed CSV</w:t>
            </w:r>
          </w:p>
        </w:tc>
        <w:tc>
          <w:tcPr>
            <w:tcW w:type="dxa" w:w="2351"/>
            <w:shd w:val="clear" w:color="auto" w:fill="EBF0F8"/>
          </w:tcPr>
          <w:p>
            <w:r>
              <w:rPr>
                <w:sz w:val="18"/>
              </w:rPr>
              <w:t>CSV, Parquet, JSON</w:t>
            </w:r>
          </w:p>
        </w:tc>
        <w:tc>
          <w:tcPr>
            <w:tcW w:type="dxa" w:w="2351"/>
            <w:shd w:val="clear" w:color="auto" w:fill="EBF0F8"/>
          </w:tcPr>
          <w:p>
            <w:r>
              <w:rPr>
                <w:sz w:val="18"/>
              </w:rPr>
              <w:t>3</w:t>
            </w:r>
          </w:p>
        </w:tc>
        <w:tc>
          <w:tcPr>
            <w:tcW w:type="dxa" w:w="2351"/>
            <w:shd w:val="clear" w:color="auto" w:fill="EBF0F8"/>
          </w:tcPr>
          <w:p>
            <w:r>
              <w:rPr>
                <w:sz w:val="18"/>
              </w:rPr>
              <w:t>DS_ADLS_GZIP_CSV</w:t>
            </w:r>
          </w:p>
        </w:tc>
      </w:tr>
      <w:tr>
        <w:tc>
          <w:tcPr>
            <w:tcW w:type="dxa" w:w="2351"/>
            <w:shd w:val="clear" w:color="auto" w:fill="FFFFFF"/>
          </w:tcPr>
          <w:p>
            <w:r>
              <w:rPr>
                <w:sz w:val="18"/>
              </w:rPr>
              <w:t>ZIP-compressed CSV</w:t>
            </w:r>
          </w:p>
        </w:tc>
        <w:tc>
          <w:tcPr>
            <w:tcW w:type="dxa" w:w="2351"/>
            <w:shd w:val="clear" w:color="auto" w:fill="FFFFFF"/>
          </w:tcPr>
          <w:p>
            <w:r>
              <w:rPr>
                <w:sz w:val="18"/>
              </w:rPr>
              <w:t>CSV, Parquet, JSON</w:t>
            </w:r>
          </w:p>
        </w:tc>
        <w:tc>
          <w:tcPr>
            <w:tcW w:type="dxa" w:w="2351"/>
            <w:shd w:val="clear" w:color="auto" w:fill="FFFFFF"/>
          </w:tcPr>
          <w:p>
            <w:r>
              <w:rPr>
                <w:sz w:val="18"/>
              </w:rPr>
              <w:t>3</w:t>
            </w:r>
          </w:p>
        </w:tc>
        <w:tc>
          <w:tcPr>
            <w:tcW w:type="dxa" w:w="2351"/>
            <w:shd w:val="clear" w:color="auto" w:fill="FFFFFF"/>
          </w:tcPr>
          <w:p>
            <w:r>
              <w:rPr>
                <w:sz w:val="18"/>
              </w:rPr>
              <w:t>DS_ADLS_ZIP_CSV</w:t>
            </w:r>
          </w:p>
        </w:tc>
      </w:tr>
      <w:tr>
        <w:tc>
          <w:tcPr>
            <w:tcW w:type="dxa" w:w="2351"/>
            <w:shd w:val="clear" w:color="auto" w:fill="EBF0F8"/>
          </w:tcPr>
          <w:p>
            <w:r>
              <w:rPr>
                <w:sz w:val="18"/>
              </w:rPr>
              <w:t>TarGzip CSV</w:t>
            </w:r>
          </w:p>
        </w:tc>
        <w:tc>
          <w:tcPr>
            <w:tcW w:type="dxa" w:w="2351"/>
            <w:shd w:val="clear" w:color="auto" w:fill="EBF0F8"/>
          </w:tcPr>
          <w:p>
            <w:r>
              <w:rPr>
                <w:sz w:val="18"/>
              </w:rPr>
              <w:t>CSV, Parquet, JSON</w:t>
            </w:r>
          </w:p>
        </w:tc>
        <w:tc>
          <w:tcPr>
            <w:tcW w:type="dxa" w:w="2351"/>
            <w:shd w:val="clear" w:color="auto" w:fill="EBF0F8"/>
          </w:tcPr>
          <w:p>
            <w:r>
              <w:rPr>
                <w:sz w:val="18"/>
              </w:rPr>
              <w:t>3</w:t>
            </w:r>
          </w:p>
        </w:tc>
        <w:tc>
          <w:tcPr>
            <w:tcW w:type="dxa" w:w="2351"/>
            <w:shd w:val="clear" w:color="auto" w:fill="EBF0F8"/>
          </w:tcPr>
          <w:p>
            <w:r>
              <w:rPr>
                <w:sz w:val="18"/>
              </w:rPr>
              <w:t>DS_ADLS_TARGZIP_CSV</w:t>
            </w:r>
          </w:p>
        </w:tc>
      </w:tr>
      <w:tr>
        <w:tc>
          <w:tcPr>
            <w:tcW w:type="dxa" w:w="2351"/>
            <w:shd w:val="clear" w:color="auto" w:fill="FFFFFF"/>
          </w:tcPr>
          <w:p>
            <w:r>
              <w:rPr>
                <w:sz w:val="18"/>
              </w:rPr>
              <w:t>GZIP-compressed JSON</w:t>
            </w:r>
          </w:p>
        </w:tc>
        <w:tc>
          <w:tcPr>
            <w:tcW w:type="dxa" w:w="2351"/>
            <w:shd w:val="clear" w:color="auto" w:fill="FFFFFF"/>
          </w:tcPr>
          <w:p>
            <w:r>
              <w:rPr>
                <w:sz w:val="18"/>
              </w:rPr>
              <w:t>CSV, Parquet, JSON</w:t>
            </w:r>
          </w:p>
        </w:tc>
        <w:tc>
          <w:tcPr>
            <w:tcW w:type="dxa" w:w="2351"/>
            <w:shd w:val="clear" w:color="auto" w:fill="FFFFFF"/>
          </w:tcPr>
          <w:p>
            <w:r>
              <w:rPr>
                <w:sz w:val="18"/>
              </w:rPr>
              <w:t>3</w:t>
            </w:r>
          </w:p>
        </w:tc>
        <w:tc>
          <w:tcPr>
            <w:tcW w:type="dxa" w:w="2351"/>
            <w:shd w:val="clear" w:color="auto" w:fill="FFFFFF"/>
          </w:tcPr>
          <w:p>
            <w:r>
              <w:rPr>
                <w:sz w:val="18"/>
              </w:rPr>
              <w:t>DS_ADLS_GZIP_JSON</w:t>
            </w:r>
          </w:p>
        </w:tc>
      </w:tr>
      <w:tr>
        <w:tc>
          <w:tcPr>
            <w:tcW w:type="dxa" w:w="2351"/>
            <w:shd w:val="clear" w:color="auto" w:fill="EBF0F8"/>
          </w:tcPr>
          <w:p>
            <w:r>
              <w:rPr>
                <w:sz w:val="18"/>
              </w:rPr>
              <w:t>ZIP-compressed JSON</w:t>
            </w:r>
          </w:p>
        </w:tc>
        <w:tc>
          <w:tcPr>
            <w:tcW w:type="dxa" w:w="2351"/>
            <w:shd w:val="clear" w:color="auto" w:fill="EBF0F8"/>
          </w:tcPr>
          <w:p>
            <w:r>
              <w:rPr>
                <w:sz w:val="18"/>
              </w:rPr>
              <w:t>CSV, Parquet, JSON</w:t>
            </w:r>
          </w:p>
        </w:tc>
        <w:tc>
          <w:tcPr>
            <w:tcW w:type="dxa" w:w="2351"/>
            <w:shd w:val="clear" w:color="auto" w:fill="EBF0F8"/>
          </w:tcPr>
          <w:p>
            <w:r>
              <w:rPr>
                <w:sz w:val="18"/>
              </w:rPr>
              <w:t>3</w:t>
            </w:r>
          </w:p>
        </w:tc>
        <w:tc>
          <w:tcPr>
            <w:tcW w:type="dxa" w:w="2351"/>
            <w:shd w:val="clear" w:color="auto" w:fill="EBF0F8"/>
          </w:tcPr>
          <w:p>
            <w:r>
              <w:rPr>
                <w:sz w:val="18"/>
              </w:rPr>
              <w:t>DS_ADLS_ZIP_JSON</w:t>
            </w:r>
          </w:p>
        </w:tc>
      </w:tr>
      <w:tr>
        <w:tc>
          <w:tcPr>
            <w:tcW w:type="dxa" w:w="2351"/>
            <w:shd w:val="clear" w:color="auto" w:fill="FFFFFF"/>
          </w:tcPr>
          <w:p>
            <w:r>
              <w:rPr>
                <w:sz w:val="18"/>
              </w:rPr>
              <w:t>TarGzip JSON</w:t>
            </w:r>
          </w:p>
        </w:tc>
        <w:tc>
          <w:tcPr>
            <w:tcW w:type="dxa" w:w="2351"/>
            <w:shd w:val="clear" w:color="auto" w:fill="FFFFFF"/>
          </w:tcPr>
          <w:p>
            <w:r>
              <w:rPr>
                <w:sz w:val="18"/>
              </w:rPr>
              <w:t>CSV, Parquet, JSON</w:t>
            </w:r>
          </w:p>
        </w:tc>
        <w:tc>
          <w:tcPr>
            <w:tcW w:type="dxa" w:w="2351"/>
            <w:shd w:val="clear" w:color="auto" w:fill="FFFFFF"/>
          </w:tcPr>
          <w:p>
            <w:r>
              <w:rPr>
                <w:sz w:val="18"/>
              </w:rPr>
              <w:t>3</w:t>
            </w:r>
          </w:p>
        </w:tc>
        <w:tc>
          <w:tcPr>
            <w:tcW w:type="dxa" w:w="2351"/>
            <w:shd w:val="clear" w:color="auto" w:fill="FFFFFF"/>
          </w:tcPr>
          <w:p>
            <w:r>
              <w:rPr>
                <w:sz w:val="18"/>
              </w:rPr>
              <w:t>DS_ADLS_TARGZIP_JSON</w:t>
            </w:r>
          </w:p>
        </w:tc>
      </w:tr>
      <w:tr>
        <w:tc>
          <w:tcPr>
            <w:tcW w:type="dxa" w:w="2351"/>
            <w:shd w:val="clear" w:color="auto" w:fill="EBF0F8"/>
          </w:tcPr>
          <w:p>
            <w:r>
              <w:rPr>
                <w:sz w:val="18"/>
              </w:rPr>
              <w:t>Binary (any)</w:t>
            </w:r>
          </w:p>
        </w:tc>
        <w:tc>
          <w:tcPr>
            <w:tcW w:type="dxa" w:w="2351"/>
            <w:shd w:val="clear" w:color="auto" w:fill="EBF0F8"/>
          </w:tcPr>
          <w:p>
            <w:r>
              <w:rPr>
                <w:sz w:val="18"/>
              </w:rPr>
              <w:t>Binary</w:t>
            </w:r>
          </w:p>
        </w:tc>
        <w:tc>
          <w:tcPr>
            <w:tcW w:type="dxa" w:w="2351"/>
            <w:shd w:val="clear" w:color="auto" w:fill="EBF0F8"/>
          </w:tcPr>
          <w:p>
            <w:r>
              <w:rPr>
                <w:sz w:val="18"/>
              </w:rPr>
              <w:t>1</w:t>
            </w:r>
          </w:p>
        </w:tc>
        <w:tc>
          <w:tcPr>
            <w:tcW w:type="dxa" w:w="2351"/>
            <w:shd w:val="clear" w:color="auto" w:fill="EBF0F8"/>
          </w:tcPr>
          <w:p>
            <w:r>
              <w:rPr>
                <w:sz w:val="18"/>
              </w:rPr>
              <w:t>DS_ADLS_BINARY</w:t>
            </w:r>
          </w:p>
        </w:tc>
      </w:tr>
    </w:tbl>
    <w:p/>
    <w:tbl>
      <w:tblPr>
        <w:tblStyle w:val="TableGrid"/>
        <w:tblW w:type="auto" w:w="0"/>
        <w:tblLook w:firstColumn="1" w:firstRow="1" w:lastColumn="0" w:lastRow="0" w:noHBand="0" w:noVBand="1" w:val="04A0"/>
      </w:tblPr>
      <w:tblGrid>
        <w:gridCol w:w="9406"/>
      </w:tblGrid>
      <w:tr>
        <w:tc>
          <w:tcPr>
            <w:tcW w:type="dxa" w:w="9406"/>
            <w:shd w:val="clear" w:color="auto" w:fill="E3EFF9"/>
          </w:tcPr>
          <w:p>
            <w:pPr>
              <w:spacing w:before="80" w:after="80"/>
            </w:pPr>
            <w:r>
              <w:rPr>
                <w:color w:val="0B68B0"/>
                <w:sz w:val="19"/>
              </w:rPr>
              <w:t>Compressed source design (Scenario A): Each compression type gets its own dedicated dataset with the compression codec baked in (e.g. compressionCodec: "gzip"). ADF decompresses transparently at read time, giving each format/compression variant a clean, unique identity in the SwitchCaseRef routing table.</w:t>
            </w:r>
          </w:p>
        </w:tc>
      </w:tr>
    </w:tbl>
    <w:p/>
    <w:p>
      <w:pPr>
        <w:pStyle w:val="Heading1"/>
      </w:pPr>
      <w:r>
        <w:rPr>
          <w:color w:val="0B68B0"/>
        </w:rPr>
        <w:t>07 — Datasets &amp; Global Parameters</w:t>
      </w:r>
    </w:p>
    <w:p>
      <w:pPr>
        <w:pStyle w:val="Heading2"/>
      </w:pPr>
      <w:r>
        <w:t>Deployed ADF Datasets (12 total)</w:t>
      </w:r>
    </w:p>
    <w:p>
      <w:pPr>
        <w:spacing w:before="0" w:after="120"/>
      </w:pPr>
      <w:r>
        <w:rPr>
          <w:b w:val="0"/>
          <w:i w:val="0"/>
        </w:rPr>
        <w:t>All datasets use parameterized linked services — connection details are resolved from LinkedServiceConnectionString JSON in the metadata at runtime. No connection detail is hardcoded in any dataset definition.</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1B2238"/>
          </w:tcPr>
          <w:p>
            <w:r>
              <w:rPr>
                <w:b/>
                <w:color w:val="FFFFFF"/>
                <w:sz w:val="18"/>
              </w:rPr>
              <w:t>Dataset</w:t>
            </w:r>
          </w:p>
        </w:tc>
        <w:tc>
          <w:tcPr>
            <w:tcW w:type="dxa" w:w="1881"/>
            <w:shd w:val="clear" w:color="auto" w:fill="1B2238"/>
          </w:tcPr>
          <w:p>
            <w:r>
              <w:rPr>
                <w:b/>
                <w:color w:val="FFFFFF"/>
                <w:sz w:val="18"/>
              </w:rPr>
              <w:t>ADF Type</w:t>
            </w:r>
          </w:p>
        </w:tc>
        <w:tc>
          <w:tcPr>
            <w:tcW w:type="dxa" w:w="1881"/>
            <w:shd w:val="clear" w:color="auto" w:fill="1B2238"/>
          </w:tcPr>
          <w:p>
            <w:r>
              <w:rPr>
                <w:b/>
                <w:color w:val="FFFFFF"/>
                <w:sz w:val="18"/>
              </w:rPr>
              <w:t>Format</w:t>
            </w:r>
          </w:p>
        </w:tc>
        <w:tc>
          <w:tcPr>
            <w:tcW w:type="dxa" w:w="1881"/>
            <w:shd w:val="clear" w:color="auto" w:fill="1B2238"/>
          </w:tcPr>
          <w:p>
            <w:r>
              <w:rPr>
                <w:b/>
                <w:color w:val="FFFFFF"/>
                <w:sz w:val="18"/>
              </w:rPr>
              <w:t>Compression</w:t>
            </w:r>
          </w:p>
        </w:tc>
        <w:tc>
          <w:tcPr>
            <w:tcW w:type="dxa" w:w="1881"/>
            <w:shd w:val="clear" w:color="auto" w:fill="1B2238"/>
          </w:tcPr>
          <w:p>
            <w:r>
              <w:rPr>
                <w:b/>
                <w:color w:val="FFFFFF"/>
                <w:sz w:val="18"/>
              </w:rPr>
              <w:t>Linked Service</w:t>
            </w:r>
          </w:p>
        </w:tc>
      </w:tr>
      <w:tr>
        <w:tc>
          <w:tcPr>
            <w:tcW w:type="dxa" w:w="1881"/>
            <w:shd w:val="clear" w:color="auto" w:fill="FFFFFF"/>
          </w:tcPr>
          <w:p>
            <w:r>
              <w:rPr>
                <w:sz w:val="18"/>
              </w:rPr>
              <w:t>DS_ASQL_TABLE</w:t>
            </w:r>
          </w:p>
        </w:tc>
        <w:tc>
          <w:tcPr>
            <w:tcW w:type="dxa" w:w="1881"/>
            <w:shd w:val="clear" w:color="auto" w:fill="FFFFFF"/>
          </w:tcPr>
          <w:p>
            <w:r>
              <w:rPr>
                <w:sz w:val="18"/>
              </w:rPr>
              <w:t>AzureSqlTable</w:t>
            </w:r>
          </w:p>
        </w:tc>
        <w:tc>
          <w:tcPr>
            <w:tcW w:type="dxa" w:w="1881"/>
            <w:shd w:val="clear" w:color="auto" w:fill="FFFFFF"/>
          </w:tcPr>
          <w:p>
            <w:r>
              <w:rPr>
                <w:sz w:val="18"/>
              </w:rPr>
              <w:t>TABLE</w:t>
            </w:r>
          </w:p>
        </w:tc>
        <w:tc>
          <w:tcPr>
            <w:tcW w:type="dxa" w:w="1881"/>
            <w:shd w:val="clear" w:color="auto" w:fill="FFFFFF"/>
          </w:tcPr>
          <w:p>
            <w:r>
              <w:rPr>
                <w:sz w:val="18"/>
              </w:rPr>
              <w:t>—</w:t>
            </w:r>
          </w:p>
        </w:tc>
        <w:tc>
          <w:tcPr>
            <w:tcW w:type="dxa" w:w="1881"/>
            <w:shd w:val="clear" w:color="auto" w:fill="FFFFFF"/>
          </w:tcPr>
          <w:p>
            <w:r>
              <w:rPr>
                <w:sz w:val="18"/>
              </w:rPr>
              <w:t>LS_ASQL_SAMI</w:t>
            </w:r>
          </w:p>
        </w:tc>
      </w:tr>
      <w:tr>
        <w:tc>
          <w:tcPr>
            <w:tcW w:type="dxa" w:w="1881"/>
            <w:shd w:val="clear" w:color="auto" w:fill="EBF0F8"/>
          </w:tcPr>
          <w:p>
            <w:r>
              <w:rPr>
                <w:sz w:val="18"/>
              </w:rPr>
              <w:t>DS_ADLS_CSV</w:t>
            </w:r>
          </w:p>
        </w:tc>
        <w:tc>
          <w:tcPr>
            <w:tcW w:type="dxa" w:w="1881"/>
            <w:shd w:val="clear" w:color="auto" w:fill="EBF0F8"/>
          </w:tcPr>
          <w:p>
            <w:r>
              <w:rPr>
                <w:sz w:val="18"/>
              </w:rPr>
              <w:t>DelimitedText</w:t>
            </w:r>
          </w:p>
        </w:tc>
        <w:tc>
          <w:tcPr>
            <w:tcW w:type="dxa" w:w="1881"/>
            <w:shd w:val="clear" w:color="auto" w:fill="EBF0F8"/>
          </w:tcPr>
          <w:p>
            <w:r>
              <w:rPr>
                <w:sz w:val="18"/>
              </w:rPr>
              <w:t>CSV</w:t>
            </w:r>
          </w:p>
        </w:tc>
        <w:tc>
          <w:tcPr>
            <w:tcW w:type="dxa" w:w="1881"/>
            <w:shd w:val="clear" w:color="auto" w:fill="EBF0F8"/>
          </w:tcPr>
          <w:p>
            <w:r>
              <w:rPr>
                <w:sz w:val="18"/>
              </w:rPr>
              <w:t>None</w:t>
            </w:r>
          </w:p>
        </w:tc>
        <w:tc>
          <w:tcPr>
            <w:tcW w:type="dxa" w:w="1881"/>
            <w:shd w:val="clear" w:color="auto" w:fill="EBF0F8"/>
          </w:tcPr>
          <w:p>
            <w:r>
              <w:rPr>
                <w:sz w:val="18"/>
              </w:rPr>
              <w:t>LS_ADLS_SAMI</w:t>
            </w:r>
          </w:p>
        </w:tc>
      </w:tr>
      <w:tr>
        <w:tc>
          <w:tcPr>
            <w:tcW w:type="dxa" w:w="1881"/>
            <w:shd w:val="clear" w:color="auto" w:fill="FFFFFF"/>
          </w:tcPr>
          <w:p>
            <w:r>
              <w:rPr>
                <w:sz w:val="18"/>
              </w:rPr>
              <w:t>DS_ADLS_PARQUET</w:t>
            </w:r>
          </w:p>
        </w:tc>
        <w:tc>
          <w:tcPr>
            <w:tcW w:type="dxa" w:w="1881"/>
            <w:shd w:val="clear" w:color="auto" w:fill="FFFFFF"/>
          </w:tcPr>
          <w:p>
            <w:r>
              <w:rPr>
                <w:sz w:val="18"/>
              </w:rPr>
              <w:t>Parquet</w:t>
            </w:r>
          </w:p>
        </w:tc>
        <w:tc>
          <w:tcPr>
            <w:tcW w:type="dxa" w:w="1881"/>
            <w:shd w:val="clear" w:color="auto" w:fill="FFFFFF"/>
          </w:tcPr>
          <w:p>
            <w:r>
              <w:rPr>
                <w:sz w:val="18"/>
              </w:rPr>
              <w:t>Parquet</w:t>
            </w:r>
          </w:p>
        </w:tc>
        <w:tc>
          <w:tcPr>
            <w:tcW w:type="dxa" w:w="1881"/>
            <w:shd w:val="clear" w:color="auto" w:fill="FFFFFF"/>
          </w:tcPr>
          <w:p>
            <w:r>
              <w:rPr>
                <w:sz w:val="18"/>
              </w:rPr>
              <w:t>None</w:t>
            </w:r>
          </w:p>
        </w:tc>
        <w:tc>
          <w:tcPr>
            <w:tcW w:type="dxa" w:w="1881"/>
            <w:shd w:val="clear" w:color="auto" w:fill="FFFFFF"/>
          </w:tcPr>
          <w:p>
            <w:r>
              <w:rPr>
                <w:sz w:val="18"/>
              </w:rPr>
              <w:t>LS_ADLS_SAMI</w:t>
            </w:r>
          </w:p>
        </w:tc>
      </w:tr>
      <w:tr>
        <w:tc>
          <w:tcPr>
            <w:tcW w:type="dxa" w:w="1881"/>
            <w:shd w:val="clear" w:color="auto" w:fill="EBF0F8"/>
          </w:tcPr>
          <w:p>
            <w:r>
              <w:rPr>
                <w:sz w:val="18"/>
              </w:rPr>
              <w:t>DS_ADLS_JSON</w:t>
            </w:r>
          </w:p>
        </w:tc>
        <w:tc>
          <w:tcPr>
            <w:tcW w:type="dxa" w:w="1881"/>
            <w:shd w:val="clear" w:color="auto" w:fill="EBF0F8"/>
          </w:tcPr>
          <w:p>
            <w:r>
              <w:rPr>
                <w:sz w:val="18"/>
              </w:rPr>
              <w:t>Json</w:t>
            </w:r>
          </w:p>
        </w:tc>
        <w:tc>
          <w:tcPr>
            <w:tcW w:type="dxa" w:w="1881"/>
            <w:shd w:val="clear" w:color="auto" w:fill="EBF0F8"/>
          </w:tcPr>
          <w:p>
            <w:r>
              <w:rPr>
                <w:sz w:val="18"/>
              </w:rPr>
              <w:t>JSON</w:t>
            </w:r>
          </w:p>
        </w:tc>
        <w:tc>
          <w:tcPr>
            <w:tcW w:type="dxa" w:w="1881"/>
            <w:shd w:val="clear" w:color="auto" w:fill="EBF0F8"/>
          </w:tcPr>
          <w:p>
            <w:r>
              <w:rPr>
                <w:sz w:val="18"/>
              </w:rPr>
              <w:t>None</w:t>
            </w:r>
          </w:p>
        </w:tc>
        <w:tc>
          <w:tcPr>
            <w:tcW w:type="dxa" w:w="1881"/>
            <w:shd w:val="clear" w:color="auto" w:fill="EBF0F8"/>
          </w:tcPr>
          <w:p>
            <w:r>
              <w:rPr>
                <w:sz w:val="18"/>
              </w:rPr>
              <w:t>LS_ADLS_SAMI</w:t>
            </w:r>
          </w:p>
        </w:tc>
      </w:tr>
      <w:tr>
        <w:tc>
          <w:tcPr>
            <w:tcW w:type="dxa" w:w="1881"/>
            <w:shd w:val="clear" w:color="auto" w:fill="FFFFFF"/>
          </w:tcPr>
          <w:p>
            <w:r>
              <w:rPr>
                <w:sz w:val="18"/>
              </w:rPr>
              <w:t>DS_ADLS_GZIP_CSV</w:t>
            </w:r>
          </w:p>
        </w:tc>
        <w:tc>
          <w:tcPr>
            <w:tcW w:type="dxa" w:w="1881"/>
            <w:shd w:val="clear" w:color="auto" w:fill="FFFFFF"/>
          </w:tcPr>
          <w:p>
            <w:r>
              <w:rPr>
                <w:sz w:val="18"/>
              </w:rPr>
              <w:t>DelimitedText</w:t>
            </w:r>
          </w:p>
        </w:tc>
        <w:tc>
          <w:tcPr>
            <w:tcW w:type="dxa" w:w="1881"/>
            <w:shd w:val="clear" w:color="auto" w:fill="FFFFFF"/>
          </w:tcPr>
          <w:p>
            <w:r>
              <w:rPr>
                <w:sz w:val="18"/>
              </w:rPr>
              <w:t>CSV</w:t>
            </w:r>
          </w:p>
        </w:tc>
        <w:tc>
          <w:tcPr>
            <w:tcW w:type="dxa" w:w="1881"/>
            <w:shd w:val="clear" w:color="auto" w:fill="FFFFFF"/>
          </w:tcPr>
          <w:p>
            <w:r>
              <w:rPr>
                <w:sz w:val="18"/>
              </w:rPr>
              <w:t>gzip</w:t>
            </w:r>
          </w:p>
        </w:tc>
        <w:tc>
          <w:tcPr>
            <w:tcW w:type="dxa" w:w="1881"/>
            <w:shd w:val="clear" w:color="auto" w:fill="FFFFFF"/>
          </w:tcPr>
          <w:p>
            <w:r>
              <w:rPr>
                <w:sz w:val="18"/>
              </w:rPr>
              <w:t>LS_ADLS_SAMI</w:t>
            </w:r>
          </w:p>
        </w:tc>
      </w:tr>
      <w:tr>
        <w:tc>
          <w:tcPr>
            <w:tcW w:type="dxa" w:w="1881"/>
            <w:shd w:val="clear" w:color="auto" w:fill="EBF0F8"/>
          </w:tcPr>
          <w:p>
            <w:r>
              <w:rPr>
                <w:sz w:val="18"/>
              </w:rPr>
              <w:t>DS_ADLS_ZIP_CSV</w:t>
            </w:r>
          </w:p>
        </w:tc>
        <w:tc>
          <w:tcPr>
            <w:tcW w:type="dxa" w:w="1881"/>
            <w:shd w:val="clear" w:color="auto" w:fill="EBF0F8"/>
          </w:tcPr>
          <w:p>
            <w:r>
              <w:rPr>
                <w:sz w:val="18"/>
              </w:rPr>
              <w:t>DelimitedText</w:t>
            </w:r>
          </w:p>
        </w:tc>
        <w:tc>
          <w:tcPr>
            <w:tcW w:type="dxa" w:w="1881"/>
            <w:shd w:val="clear" w:color="auto" w:fill="EBF0F8"/>
          </w:tcPr>
          <w:p>
            <w:r>
              <w:rPr>
                <w:sz w:val="18"/>
              </w:rPr>
              <w:t>CSV</w:t>
            </w:r>
          </w:p>
        </w:tc>
        <w:tc>
          <w:tcPr>
            <w:tcW w:type="dxa" w:w="1881"/>
            <w:shd w:val="clear" w:color="auto" w:fill="EBF0F8"/>
          </w:tcPr>
          <w:p>
            <w:r>
              <w:rPr>
                <w:sz w:val="18"/>
              </w:rPr>
              <w:t>ZipDeflate</w:t>
            </w:r>
          </w:p>
        </w:tc>
        <w:tc>
          <w:tcPr>
            <w:tcW w:type="dxa" w:w="1881"/>
            <w:shd w:val="clear" w:color="auto" w:fill="EBF0F8"/>
          </w:tcPr>
          <w:p>
            <w:r>
              <w:rPr>
                <w:sz w:val="18"/>
              </w:rPr>
              <w:t>LS_ADLS_SAMI</w:t>
            </w:r>
          </w:p>
        </w:tc>
      </w:tr>
      <w:tr>
        <w:tc>
          <w:tcPr>
            <w:tcW w:type="dxa" w:w="1881"/>
            <w:shd w:val="clear" w:color="auto" w:fill="FFFFFF"/>
          </w:tcPr>
          <w:p>
            <w:r>
              <w:rPr>
                <w:sz w:val="18"/>
              </w:rPr>
              <w:t>DS_ADLS_TARGZIP_CSV</w:t>
            </w:r>
          </w:p>
        </w:tc>
        <w:tc>
          <w:tcPr>
            <w:tcW w:type="dxa" w:w="1881"/>
            <w:shd w:val="clear" w:color="auto" w:fill="FFFFFF"/>
          </w:tcPr>
          <w:p>
            <w:r>
              <w:rPr>
                <w:sz w:val="18"/>
              </w:rPr>
              <w:t>DelimitedText</w:t>
            </w:r>
          </w:p>
        </w:tc>
        <w:tc>
          <w:tcPr>
            <w:tcW w:type="dxa" w:w="1881"/>
            <w:shd w:val="clear" w:color="auto" w:fill="FFFFFF"/>
          </w:tcPr>
          <w:p>
            <w:r>
              <w:rPr>
                <w:sz w:val="18"/>
              </w:rPr>
              <w:t>CSV</w:t>
            </w:r>
          </w:p>
        </w:tc>
        <w:tc>
          <w:tcPr>
            <w:tcW w:type="dxa" w:w="1881"/>
            <w:shd w:val="clear" w:color="auto" w:fill="FFFFFF"/>
          </w:tcPr>
          <w:p>
            <w:r>
              <w:rPr>
                <w:sz w:val="18"/>
              </w:rPr>
              <w:t>TarGzip</w:t>
            </w:r>
          </w:p>
        </w:tc>
        <w:tc>
          <w:tcPr>
            <w:tcW w:type="dxa" w:w="1881"/>
            <w:shd w:val="clear" w:color="auto" w:fill="FFFFFF"/>
          </w:tcPr>
          <w:p>
            <w:r>
              <w:rPr>
                <w:sz w:val="18"/>
              </w:rPr>
              <w:t>LS_ADLS_SAMI</w:t>
            </w:r>
          </w:p>
        </w:tc>
      </w:tr>
      <w:tr>
        <w:tc>
          <w:tcPr>
            <w:tcW w:type="dxa" w:w="1881"/>
            <w:shd w:val="clear" w:color="auto" w:fill="EBF0F8"/>
          </w:tcPr>
          <w:p>
            <w:r>
              <w:rPr>
                <w:sz w:val="18"/>
              </w:rPr>
              <w:t>DS_ADLS_GZIP_JSON</w:t>
            </w:r>
          </w:p>
        </w:tc>
        <w:tc>
          <w:tcPr>
            <w:tcW w:type="dxa" w:w="1881"/>
            <w:shd w:val="clear" w:color="auto" w:fill="EBF0F8"/>
          </w:tcPr>
          <w:p>
            <w:r>
              <w:rPr>
                <w:sz w:val="18"/>
              </w:rPr>
              <w:t>Json</w:t>
            </w:r>
          </w:p>
        </w:tc>
        <w:tc>
          <w:tcPr>
            <w:tcW w:type="dxa" w:w="1881"/>
            <w:shd w:val="clear" w:color="auto" w:fill="EBF0F8"/>
          </w:tcPr>
          <w:p>
            <w:r>
              <w:rPr>
                <w:sz w:val="18"/>
              </w:rPr>
              <w:t>JSON</w:t>
            </w:r>
          </w:p>
        </w:tc>
        <w:tc>
          <w:tcPr>
            <w:tcW w:type="dxa" w:w="1881"/>
            <w:shd w:val="clear" w:color="auto" w:fill="EBF0F8"/>
          </w:tcPr>
          <w:p>
            <w:r>
              <w:rPr>
                <w:sz w:val="18"/>
              </w:rPr>
              <w:t>gzip</w:t>
            </w:r>
          </w:p>
        </w:tc>
        <w:tc>
          <w:tcPr>
            <w:tcW w:type="dxa" w:w="1881"/>
            <w:shd w:val="clear" w:color="auto" w:fill="EBF0F8"/>
          </w:tcPr>
          <w:p>
            <w:r>
              <w:rPr>
                <w:sz w:val="18"/>
              </w:rPr>
              <w:t>LS_ADLS_SAMI</w:t>
            </w:r>
          </w:p>
        </w:tc>
      </w:tr>
      <w:tr>
        <w:tc>
          <w:tcPr>
            <w:tcW w:type="dxa" w:w="1881"/>
            <w:shd w:val="clear" w:color="auto" w:fill="FFFFFF"/>
          </w:tcPr>
          <w:p>
            <w:r>
              <w:rPr>
                <w:sz w:val="18"/>
              </w:rPr>
              <w:t>DS_ADLS_ZIP_JSON</w:t>
            </w:r>
          </w:p>
        </w:tc>
        <w:tc>
          <w:tcPr>
            <w:tcW w:type="dxa" w:w="1881"/>
            <w:shd w:val="clear" w:color="auto" w:fill="FFFFFF"/>
          </w:tcPr>
          <w:p>
            <w:r>
              <w:rPr>
                <w:sz w:val="18"/>
              </w:rPr>
              <w:t>Json</w:t>
            </w:r>
          </w:p>
        </w:tc>
        <w:tc>
          <w:tcPr>
            <w:tcW w:type="dxa" w:w="1881"/>
            <w:shd w:val="clear" w:color="auto" w:fill="FFFFFF"/>
          </w:tcPr>
          <w:p>
            <w:r>
              <w:rPr>
                <w:sz w:val="18"/>
              </w:rPr>
              <w:t>JSON</w:t>
            </w:r>
          </w:p>
        </w:tc>
        <w:tc>
          <w:tcPr>
            <w:tcW w:type="dxa" w:w="1881"/>
            <w:shd w:val="clear" w:color="auto" w:fill="FFFFFF"/>
          </w:tcPr>
          <w:p>
            <w:r>
              <w:rPr>
                <w:sz w:val="18"/>
              </w:rPr>
              <w:t>ZipDeflate</w:t>
            </w:r>
          </w:p>
        </w:tc>
        <w:tc>
          <w:tcPr>
            <w:tcW w:type="dxa" w:w="1881"/>
            <w:shd w:val="clear" w:color="auto" w:fill="FFFFFF"/>
          </w:tcPr>
          <w:p>
            <w:r>
              <w:rPr>
                <w:sz w:val="18"/>
              </w:rPr>
              <w:t>LS_ADLS_SAMI</w:t>
            </w:r>
          </w:p>
        </w:tc>
      </w:tr>
      <w:tr>
        <w:tc>
          <w:tcPr>
            <w:tcW w:type="dxa" w:w="1881"/>
            <w:shd w:val="clear" w:color="auto" w:fill="EBF0F8"/>
          </w:tcPr>
          <w:p>
            <w:r>
              <w:rPr>
                <w:sz w:val="18"/>
              </w:rPr>
              <w:t>DS_ADLS_TARGZIP_JSON</w:t>
            </w:r>
          </w:p>
        </w:tc>
        <w:tc>
          <w:tcPr>
            <w:tcW w:type="dxa" w:w="1881"/>
            <w:shd w:val="clear" w:color="auto" w:fill="EBF0F8"/>
          </w:tcPr>
          <w:p>
            <w:r>
              <w:rPr>
                <w:sz w:val="18"/>
              </w:rPr>
              <w:t>Json</w:t>
            </w:r>
          </w:p>
        </w:tc>
        <w:tc>
          <w:tcPr>
            <w:tcW w:type="dxa" w:w="1881"/>
            <w:shd w:val="clear" w:color="auto" w:fill="EBF0F8"/>
          </w:tcPr>
          <w:p>
            <w:r>
              <w:rPr>
                <w:sz w:val="18"/>
              </w:rPr>
              <w:t>JSON</w:t>
            </w:r>
          </w:p>
        </w:tc>
        <w:tc>
          <w:tcPr>
            <w:tcW w:type="dxa" w:w="1881"/>
            <w:shd w:val="clear" w:color="auto" w:fill="EBF0F8"/>
          </w:tcPr>
          <w:p>
            <w:r>
              <w:rPr>
                <w:sz w:val="18"/>
              </w:rPr>
              <w:t>TarGzip</w:t>
            </w:r>
          </w:p>
        </w:tc>
        <w:tc>
          <w:tcPr>
            <w:tcW w:type="dxa" w:w="1881"/>
            <w:shd w:val="clear" w:color="auto" w:fill="EBF0F8"/>
          </w:tcPr>
          <w:p>
            <w:r>
              <w:rPr>
                <w:sz w:val="18"/>
              </w:rPr>
              <w:t>LS_ADLS_SAMI</w:t>
            </w:r>
          </w:p>
        </w:tc>
      </w:tr>
      <w:tr>
        <w:tc>
          <w:tcPr>
            <w:tcW w:type="dxa" w:w="1881"/>
            <w:shd w:val="clear" w:color="auto" w:fill="FFFFFF"/>
          </w:tcPr>
          <w:p>
            <w:r>
              <w:rPr>
                <w:sz w:val="18"/>
              </w:rPr>
              <w:t>DS_ADLS_BINARY</w:t>
            </w:r>
          </w:p>
        </w:tc>
        <w:tc>
          <w:tcPr>
            <w:tcW w:type="dxa" w:w="1881"/>
            <w:shd w:val="clear" w:color="auto" w:fill="FFFFFF"/>
          </w:tcPr>
          <w:p>
            <w:r>
              <w:rPr>
                <w:sz w:val="18"/>
              </w:rPr>
              <w:t>Binary</w:t>
            </w:r>
          </w:p>
        </w:tc>
        <w:tc>
          <w:tcPr>
            <w:tcW w:type="dxa" w:w="1881"/>
            <w:shd w:val="clear" w:color="auto" w:fill="FFFFFF"/>
          </w:tcPr>
          <w:p>
            <w:r>
              <w:rPr>
                <w:sz w:val="18"/>
              </w:rPr>
              <w:t>Any binary</w:t>
            </w:r>
          </w:p>
        </w:tc>
        <w:tc>
          <w:tcPr>
            <w:tcW w:type="dxa" w:w="1881"/>
            <w:shd w:val="clear" w:color="auto" w:fill="FFFFFF"/>
          </w:tcPr>
          <w:p>
            <w:r>
              <w:rPr>
                <w:sz w:val="18"/>
              </w:rPr>
              <w:t>None (pass-through)</w:t>
            </w:r>
          </w:p>
        </w:tc>
        <w:tc>
          <w:tcPr>
            <w:tcW w:type="dxa" w:w="1881"/>
            <w:shd w:val="clear" w:color="auto" w:fill="FFFFFF"/>
          </w:tcPr>
          <w:p>
            <w:r>
              <w:rPr>
                <w:sz w:val="18"/>
              </w:rPr>
              <w:t>LS_ADLS_SAMI</w:t>
            </w:r>
          </w:p>
        </w:tc>
      </w:tr>
      <w:tr>
        <w:tc>
          <w:tcPr>
            <w:tcW w:type="dxa" w:w="1881"/>
            <w:shd w:val="clear" w:color="auto" w:fill="EBF0F8"/>
          </w:tcPr>
          <w:p>
            <w:r>
              <w:rPr>
                <w:sz w:val="18"/>
              </w:rPr>
              <w:t>DS_REST_JSON</w:t>
            </w:r>
          </w:p>
        </w:tc>
        <w:tc>
          <w:tcPr>
            <w:tcW w:type="dxa" w:w="1881"/>
            <w:shd w:val="clear" w:color="auto" w:fill="EBF0F8"/>
          </w:tcPr>
          <w:p>
            <w:r>
              <w:rPr>
                <w:sz w:val="18"/>
              </w:rPr>
              <w:t>RestResource</w:t>
            </w:r>
          </w:p>
        </w:tc>
        <w:tc>
          <w:tcPr>
            <w:tcW w:type="dxa" w:w="1881"/>
            <w:shd w:val="clear" w:color="auto" w:fill="EBF0F8"/>
          </w:tcPr>
          <w:p>
            <w:r>
              <w:rPr>
                <w:sz w:val="18"/>
              </w:rPr>
              <w:t>JSON (REST resp.)</w:t>
            </w:r>
          </w:p>
        </w:tc>
        <w:tc>
          <w:tcPr>
            <w:tcW w:type="dxa" w:w="1881"/>
            <w:shd w:val="clear" w:color="auto" w:fill="EBF0F8"/>
          </w:tcPr>
          <w:p>
            <w:r>
              <w:rPr>
                <w:sz w:val="18"/>
              </w:rPr>
              <w:t>—</w:t>
            </w:r>
          </w:p>
        </w:tc>
        <w:tc>
          <w:tcPr>
            <w:tcW w:type="dxa" w:w="1881"/>
            <w:shd w:val="clear" w:color="auto" w:fill="EBF0F8"/>
          </w:tcPr>
          <w:p>
            <w:r>
              <w:rPr>
                <w:sz w:val="18"/>
              </w:rPr>
              <w:t>LS_REST_ANON</w:t>
            </w:r>
          </w:p>
        </w:tc>
      </w:tr>
    </w:tbl>
    <w:p/>
    <w:p>
      <w:pPr>
        <w:pStyle w:val="Heading2"/>
      </w:pPr>
      <w:r>
        <w:t>Deployed Linked Services (5 total)</w:t>
      </w:r>
    </w:p>
    <w:p>
      <w:pPr>
        <w:spacing w:before="0" w:after="120"/>
      </w:pPr>
      <w:r>
        <w:rPr>
          <w:b w:val="0"/>
          <w:i w:val="0"/>
        </w:rPr>
        <w:t>All linked services are fully parameterized — connection details are resolved at runtime from LinkedServiceRef.LinkedServiceConnectionString JSON. No server name, URL, credential, or key is hardcoded in any linked service definition.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B2238"/>
          </w:tcPr>
          <w:p>
            <w:r>
              <w:rPr>
                <w:b/>
                <w:color w:val="FFFFFF"/>
                <w:sz w:val="18"/>
              </w:rPr>
              <w:t>Linked Service</w:t>
            </w:r>
          </w:p>
        </w:tc>
        <w:tc>
          <w:tcPr>
            <w:tcW w:type="dxa" w:w="2351"/>
            <w:shd w:val="clear" w:color="auto" w:fill="1B2238"/>
          </w:tcPr>
          <w:p>
            <w:r>
              <w:rPr>
                <w:b/>
                <w:color w:val="FFFFFF"/>
                <w:sz w:val="18"/>
              </w:rPr>
              <w:t>ADF Connector</w:t>
            </w:r>
          </w:p>
        </w:tc>
        <w:tc>
          <w:tcPr>
            <w:tcW w:type="dxa" w:w="2351"/>
            <w:shd w:val="clear" w:color="auto" w:fill="1B2238"/>
          </w:tcPr>
          <w:p>
            <w:r>
              <w:rPr>
                <w:b/>
                <w:color w:val="FFFFFF"/>
                <w:sz w:val="18"/>
              </w:rPr>
              <w:t>Auth Type</w:t>
            </w:r>
          </w:p>
        </w:tc>
        <w:tc>
          <w:tcPr>
            <w:tcW w:type="dxa" w:w="2351"/>
            <w:shd w:val="clear" w:color="auto" w:fill="1B2238"/>
          </w:tcPr>
          <w:p>
            <w:r>
              <w:rPr>
                <w:b/>
                <w:color w:val="FFFFFF"/>
                <w:sz w:val="18"/>
              </w:rPr>
              <w:t>Parameters</w:t>
            </w:r>
          </w:p>
        </w:tc>
      </w:tr>
      <w:tr>
        <w:tc>
          <w:tcPr>
            <w:tcW w:type="dxa" w:w="2351"/>
            <w:shd w:val="clear" w:color="auto" w:fill="FFFFFF"/>
          </w:tcPr>
          <w:p>
            <w:r>
              <w:rPr>
                <w:sz w:val="18"/>
              </w:rPr>
              <w:t>LS_ADLS_SAMI</w:t>
            </w:r>
          </w:p>
        </w:tc>
        <w:tc>
          <w:tcPr>
            <w:tcW w:type="dxa" w:w="2351"/>
            <w:shd w:val="clear" w:color="auto" w:fill="FFFFFF"/>
          </w:tcPr>
          <w:p>
            <w:r>
              <w:rPr>
                <w:sz w:val="18"/>
              </w:rPr>
              <w:t>AzureBlobFS</w:t>
            </w:r>
          </w:p>
        </w:tc>
        <w:tc>
          <w:tcPr>
            <w:tcW w:type="dxa" w:w="2351"/>
            <w:shd w:val="clear" w:color="auto" w:fill="FFFFFF"/>
          </w:tcPr>
          <w:p>
            <w:r>
              <w:rPr>
                <w:sz w:val="18"/>
              </w:rPr>
              <w:t>System-Assigned Managed Identity</w:t>
            </w:r>
          </w:p>
        </w:tc>
        <w:tc>
          <w:tcPr>
            <w:tcW w:type="dxa" w:w="2351"/>
            <w:shd w:val="clear" w:color="auto" w:fill="FFFFFF"/>
          </w:tcPr>
          <w:p>
            <w:r>
              <w:rPr>
                <w:sz w:val="18"/>
              </w:rPr>
              <w:t>URL</w:t>
            </w:r>
          </w:p>
        </w:tc>
      </w:tr>
      <w:tr>
        <w:tc>
          <w:tcPr>
            <w:tcW w:type="dxa" w:w="2351"/>
            <w:shd w:val="clear" w:color="auto" w:fill="EBF0F8"/>
          </w:tcPr>
          <w:p>
            <w:r>
              <w:rPr>
                <w:sz w:val="18"/>
              </w:rPr>
              <w:t>LS_ASQL_SAMI</w:t>
            </w:r>
          </w:p>
        </w:tc>
        <w:tc>
          <w:tcPr>
            <w:tcW w:type="dxa" w:w="2351"/>
            <w:shd w:val="clear" w:color="auto" w:fill="EBF0F8"/>
          </w:tcPr>
          <w:p>
            <w:r>
              <w:rPr>
                <w:sz w:val="18"/>
              </w:rPr>
              <w:t>AzureSqlDatabase v2.0</w:t>
            </w:r>
          </w:p>
        </w:tc>
        <w:tc>
          <w:tcPr>
            <w:tcW w:type="dxa" w:w="2351"/>
            <w:shd w:val="clear" w:color="auto" w:fill="EBF0F8"/>
          </w:tcPr>
          <w:p>
            <w:r>
              <w:rPr>
                <w:sz w:val="18"/>
              </w:rPr>
              <w:t>System-Assigned Managed Identity</w:t>
            </w:r>
          </w:p>
        </w:tc>
        <w:tc>
          <w:tcPr>
            <w:tcW w:type="dxa" w:w="2351"/>
            <w:shd w:val="clear" w:color="auto" w:fill="EBF0F8"/>
          </w:tcPr>
          <w:p>
            <w:r>
              <w:rPr>
                <w:sz w:val="18"/>
              </w:rPr>
              <w:t>serverName, databaseName</w:t>
            </w:r>
          </w:p>
        </w:tc>
      </w:tr>
      <w:tr>
        <w:tc>
          <w:tcPr>
            <w:tcW w:type="dxa" w:w="2351"/>
            <w:shd w:val="clear" w:color="auto" w:fill="FFFFFF"/>
          </w:tcPr>
          <w:p>
            <w:r>
              <w:rPr>
                <w:sz w:val="18"/>
              </w:rPr>
              <w:t>LS_SFTP_BASIC</w:t>
            </w:r>
          </w:p>
        </w:tc>
        <w:tc>
          <w:tcPr>
            <w:tcW w:type="dxa" w:w="2351"/>
            <w:shd w:val="clear" w:color="auto" w:fill="FFFFFF"/>
          </w:tcPr>
          <w:p>
            <w:r>
              <w:rPr>
                <w:sz w:val="18"/>
              </w:rPr>
              <w:t>Sftp</w:t>
            </w:r>
          </w:p>
        </w:tc>
        <w:tc>
          <w:tcPr>
            <w:tcW w:type="dxa" w:w="2351"/>
            <w:shd w:val="clear" w:color="auto" w:fill="FFFFFF"/>
          </w:tcPr>
          <w:p>
            <w:r>
              <w:rPr>
                <w:sz w:val="18"/>
              </w:rPr>
              <w:t>Basic (username/password)</w:t>
            </w:r>
          </w:p>
        </w:tc>
        <w:tc>
          <w:tcPr>
            <w:tcW w:type="dxa" w:w="2351"/>
            <w:shd w:val="clear" w:color="auto" w:fill="FFFFFF"/>
          </w:tcPr>
          <w:p>
            <w:r>
              <w:rPr>
                <w:sz w:val="18"/>
              </w:rPr>
              <w:t>host, port, userName, password (SecureString)</w:t>
            </w:r>
          </w:p>
        </w:tc>
      </w:tr>
      <w:tr>
        <w:tc>
          <w:tcPr>
            <w:tcW w:type="dxa" w:w="2351"/>
            <w:shd w:val="clear" w:color="auto" w:fill="EBF0F8"/>
          </w:tcPr>
          <w:p>
            <w:r>
              <w:rPr>
                <w:sz w:val="18"/>
              </w:rPr>
              <w:t>LS_SFTP_SSH</w:t>
            </w:r>
          </w:p>
        </w:tc>
        <w:tc>
          <w:tcPr>
            <w:tcW w:type="dxa" w:w="2351"/>
            <w:shd w:val="clear" w:color="auto" w:fill="EBF0F8"/>
          </w:tcPr>
          <w:p>
            <w:r>
              <w:rPr>
                <w:sz w:val="18"/>
              </w:rPr>
              <w:t>Sftp</w:t>
            </w:r>
          </w:p>
        </w:tc>
        <w:tc>
          <w:tcPr>
            <w:tcW w:type="dxa" w:w="2351"/>
            <w:shd w:val="clear" w:color="auto" w:fill="EBF0F8"/>
          </w:tcPr>
          <w:p>
            <w:r>
              <w:rPr>
                <w:sz w:val="18"/>
              </w:rPr>
              <w:t>SSH Public Key</w:t>
            </w:r>
          </w:p>
        </w:tc>
        <w:tc>
          <w:tcPr>
            <w:tcW w:type="dxa" w:w="2351"/>
            <w:shd w:val="clear" w:color="auto" w:fill="EBF0F8"/>
          </w:tcPr>
          <w:p>
            <w:r>
              <w:rPr>
                <w:sz w:val="18"/>
              </w:rPr>
              <w:t>host, port, userName, privateKeyContent, passPhrase (SecureString)</w:t>
            </w:r>
          </w:p>
        </w:tc>
      </w:tr>
      <w:tr>
        <w:tc>
          <w:tcPr>
            <w:tcW w:type="dxa" w:w="2351"/>
            <w:shd w:val="clear" w:color="auto" w:fill="FFFFFF"/>
          </w:tcPr>
          <w:p>
            <w:r>
              <w:rPr>
                <w:sz w:val="18"/>
              </w:rPr>
              <w:t>LS_REST_ANON</w:t>
            </w:r>
          </w:p>
        </w:tc>
        <w:tc>
          <w:tcPr>
            <w:tcW w:type="dxa" w:w="2351"/>
            <w:shd w:val="clear" w:color="auto" w:fill="FFFFFF"/>
          </w:tcPr>
          <w:p>
            <w:r>
              <w:rPr>
                <w:sz w:val="18"/>
              </w:rPr>
              <w:t>RestService</w:t>
            </w:r>
          </w:p>
        </w:tc>
        <w:tc>
          <w:tcPr>
            <w:tcW w:type="dxa" w:w="2351"/>
            <w:shd w:val="clear" w:color="auto" w:fill="FFFFFF"/>
          </w:tcPr>
          <w:p>
            <w:r>
              <w:rPr>
                <w:sz w:val="18"/>
              </w:rPr>
              <w:t>Anonymous</w:t>
            </w:r>
          </w:p>
        </w:tc>
        <w:tc>
          <w:tcPr>
            <w:tcW w:type="dxa" w:w="2351"/>
            <w:shd w:val="clear" w:color="auto" w:fill="FFFFFF"/>
          </w:tcPr>
          <w:p>
            <w:r>
              <w:rPr>
                <w:sz w:val="18"/>
              </w:rPr>
              <w:t>URL</w:t>
            </w:r>
          </w:p>
        </w:tc>
      </w:tr>
    </w:tbl>
    <w:p/>
    <w:p>
      <w:pPr>
        <w:pStyle w:val="Heading2"/>
      </w:pPr>
      <w:r>
        <w:t>ADF Global Parameters</w:t>
      </w:r>
    </w:p>
    <w:p>
      <w:pPr>
        <w:spacing w:before="0" w:after="120"/>
      </w:pPr>
      <w:r>
        <w:rPr>
          <w:b w:val="0"/>
          <w:i w:val="0"/>
        </w:rPr>
        <w:t>Factory-level parameters shared across all pipelines are managed as ADF Global Parameters rather than duplicated pipeline-level parameters. This ensures a single configuration point: updating the metadata server or database name requires one change at the factory level.</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B2238"/>
          </w:tcPr>
          <w:p>
            <w:r>
              <w:rPr>
                <w:b/>
                <w:color w:val="FFFFFF"/>
                <w:sz w:val="18"/>
              </w:rPr>
              <w:t>Global Parameter</w:t>
            </w:r>
          </w:p>
        </w:tc>
        <w:tc>
          <w:tcPr>
            <w:tcW w:type="dxa" w:w="2351"/>
            <w:shd w:val="clear" w:color="auto" w:fill="1B2238"/>
          </w:tcPr>
          <w:p>
            <w:r>
              <w:rPr>
                <w:b/>
                <w:color w:val="FFFFFF"/>
                <w:sz w:val="18"/>
              </w:rPr>
              <w:t>Type</w:t>
            </w:r>
          </w:p>
        </w:tc>
        <w:tc>
          <w:tcPr>
            <w:tcW w:type="dxa" w:w="2351"/>
            <w:shd w:val="clear" w:color="auto" w:fill="1B2238"/>
          </w:tcPr>
          <w:p>
            <w:r>
              <w:rPr>
                <w:b/>
                <w:color w:val="FFFFFF"/>
                <w:sz w:val="18"/>
              </w:rPr>
              <w:t>Value</w:t>
            </w:r>
          </w:p>
        </w:tc>
        <w:tc>
          <w:tcPr>
            <w:tcW w:type="dxa" w:w="2351"/>
            <w:shd w:val="clear" w:color="auto" w:fill="1B2238"/>
          </w:tcPr>
          <w:p>
            <w:r>
              <w:rPr>
                <w:b/>
                <w:color w:val="FFFFFF"/>
                <w:sz w:val="18"/>
              </w:rPr>
              <w:t>Referenced As</w:t>
            </w:r>
          </w:p>
        </w:tc>
      </w:tr>
      <w:tr>
        <w:tc>
          <w:tcPr>
            <w:tcW w:type="dxa" w:w="2351"/>
            <w:shd w:val="clear" w:color="auto" w:fill="FFFFFF"/>
          </w:tcPr>
          <w:p>
            <w:r>
              <w:rPr>
                <w:sz w:val="18"/>
              </w:rPr>
              <w:t>MetadataServerName</w:t>
            </w:r>
          </w:p>
        </w:tc>
        <w:tc>
          <w:tcPr>
            <w:tcW w:type="dxa" w:w="2351"/>
            <w:shd w:val="clear" w:color="auto" w:fill="FFFFFF"/>
          </w:tcPr>
          <w:p>
            <w:r>
              <w:rPr>
                <w:sz w:val="18"/>
              </w:rPr>
              <w:t>String</w:t>
            </w:r>
          </w:p>
        </w:tc>
        <w:tc>
          <w:tcPr>
            <w:tcW w:type="dxa" w:w="2351"/>
            <w:shd w:val="clear" w:color="auto" w:fill="FFFFFF"/>
          </w:tcPr>
          <w:p>
            <w:r>
              <w:rPr>
                <w:sz w:val="18"/>
              </w:rPr>
              <w:t>asqlserverclaude01.database.windows.net</w:t>
            </w:r>
          </w:p>
        </w:tc>
        <w:tc>
          <w:tcPr>
            <w:tcW w:type="dxa" w:w="2351"/>
            <w:shd w:val="clear" w:color="auto" w:fill="FFFFFF"/>
          </w:tcPr>
          <w:p>
            <w:r>
              <w:rPr>
                <w:sz w:val="18"/>
              </w:rPr>
              <w:t>@pipeline().globalParameters.MetadataServerName</w:t>
            </w:r>
          </w:p>
        </w:tc>
      </w:tr>
      <w:tr>
        <w:tc>
          <w:tcPr>
            <w:tcW w:type="dxa" w:w="2351"/>
            <w:shd w:val="clear" w:color="auto" w:fill="EBF0F8"/>
          </w:tcPr>
          <w:p>
            <w:r>
              <w:rPr>
                <w:sz w:val="18"/>
              </w:rPr>
              <w:t>MetadataDatabaseName</w:t>
            </w:r>
          </w:p>
        </w:tc>
        <w:tc>
          <w:tcPr>
            <w:tcW w:type="dxa" w:w="2351"/>
            <w:shd w:val="clear" w:color="auto" w:fill="EBF0F8"/>
          </w:tcPr>
          <w:p>
            <w:r>
              <w:rPr>
                <w:sz w:val="18"/>
              </w:rPr>
              <w:t>String</w:t>
            </w:r>
          </w:p>
        </w:tc>
        <w:tc>
          <w:tcPr>
            <w:tcW w:type="dxa" w:w="2351"/>
            <w:shd w:val="clear" w:color="auto" w:fill="EBF0F8"/>
          </w:tcPr>
          <w:p>
            <w:r>
              <w:rPr>
                <w:sz w:val="18"/>
              </w:rPr>
              <w:t>asqlclaude01</w:t>
            </w:r>
          </w:p>
        </w:tc>
        <w:tc>
          <w:tcPr>
            <w:tcW w:type="dxa" w:w="2351"/>
            <w:shd w:val="clear" w:color="auto" w:fill="EBF0F8"/>
          </w:tcPr>
          <w:p>
            <w:r>
              <w:rPr>
                <w:sz w:val="18"/>
              </w:rPr>
              <w:t>@pipeline().globalParameters.MetadataDatabaseName</w:t>
            </w:r>
          </w:p>
        </w:tc>
      </w:tr>
    </w:tbl>
    <w:p/>
    <w:tbl>
      <w:tblPr>
        <w:tblStyle w:val="TableGrid"/>
        <w:tblW w:type="auto" w:w="0"/>
        <w:tblLook w:firstColumn="1" w:firstRow="1" w:lastColumn="0" w:lastRow="0" w:noHBand="0" w:noVBand="1" w:val="04A0"/>
      </w:tblPr>
      <w:tblGrid>
        <w:gridCol w:w="9406"/>
      </w:tblGrid>
      <w:tr>
        <w:tc>
          <w:tcPr>
            <w:tcW w:type="dxa" w:w="9406"/>
            <w:shd w:val="clear" w:color="auto" w:fill="E3EFF9"/>
          </w:tcPr>
          <w:p>
            <w:pPr>
              <w:spacing w:before="80" w:after="80"/>
            </w:pPr>
            <w:r>
              <w:rPr>
                <w:color w:val="0B68B0"/>
                <w:sz w:val="19"/>
              </w:rPr>
              <w:t>All five deployed pipelines reference these global parameters for Lookup dataset resolution. The only pipeline-level parameter across all five is TriggerName.</w:t>
            </w:r>
          </w:p>
        </w:tc>
      </w:tr>
    </w:tbl>
    <w:p/>
    <w:p>
      <w:pPr>
        <w:pStyle w:val="Heading1"/>
      </w:pPr>
      <w:r>
        <w:rPr>
          <w:color w:val="0B68B0"/>
        </w:rPr>
        <w:t>08 — Load Patterns</w:t>
      </w:r>
    </w:p>
    <w:p>
      <w:pPr>
        <w:pStyle w:val="Heading2"/>
      </w:pPr>
      <w:r>
        <w:t>Full Refresh  [Load_Type = Full_Refresh]</w:t>
      </w:r>
    </w:p>
    <w:p>
      <w:pPr>
        <w:spacing w:before="0" w:after="120"/>
      </w:pPr>
      <w:r>
        <w:rPr>
          <w:b w:val="0"/>
          <w:i w:val="0"/>
        </w:rPr>
        <w:t>The entire dataset is read from source and written to the target on each run. Used for reference data, small dimension tables, or sources where change tracking is not available or required.</w:t>
      </w:r>
    </w:p>
    <w:p>
      <w:pPr>
        <w:pStyle w:val="ListBullet"/>
        <w:spacing w:after="60"/>
      </w:pPr>
      <w:r>
        <w:rPr>
          <w:sz w:val="20"/>
        </w:rPr>
        <w:t>Watermark_ID is NULL — no high-water mark is maintained.</w:t>
      </w:r>
    </w:p>
    <w:p>
      <w:pPr>
        <w:pStyle w:val="ListBullet"/>
        <w:spacing w:after="60"/>
      </w:pPr>
      <w:r>
        <w:rPr>
          <w:sz w:val="20"/>
        </w:rPr>
        <w:t>No source-side filter is applied; all records are copied on every run.</w:t>
      </w:r>
    </w:p>
    <w:p>
      <w:pPr>
        <w:pStyle w:val="ListBullet"/>
        <w:spacing w:after="60"/>
      </w:pPr>
      <w:r>
        <w:rPr>
          <w:sz w:val="20"/>
        </w:rPr>
        <w:t>Each Switch case contains a single Copy activity.</w:t>
      </w:r>
    </w:p>
    <w:p>
      <w:pPr>
        <w:pStyle w:val="ListBullet"/>
        <w:spacing w:after="60"/>
      </w:pPr>
      <w:r>
        <w:rPr>
          <w:sz w:val="20"/>
        </w:rPr>
        <w:t>Pipeline name carries the FULL suffix.</w:t>
      </w:r>
    </w:p>
    <w:p/>
    <w:p>
      <w:pPr>
        <w:pStyle w:val="Heading2"/>
      </w:pPr>
      <w:r>
        <w:t>Incremental / Delta  [Load_Type = Incremental]</w:t>
      </w:r>
    </w:p>
    <w:p>
      <w:pPr>
        <w:spacing w:before="0" w:after="120"/>
      </w:pPr>
      <w:r>
        <w:rPr>
          <w:b w:val="0"/>
          <w:i w:val="0"/>
        </w:rPr>
        <w:t>Only records added or changed since the last successful run are copied. The high-water mark is maintained in the Watermark table and updated after each successful load that transfers at least one record.</w:t>
      </w:r>
    </w:p>
    <w:p>
      <w:pPr>
        <w:pStyle w:val="ListBullet"/>
        <w:spacing w:after="60"/>
      </w:pPr>
      <w:r>
        <w:rPr>
          <w:sz w:val="20"/>
        </w:rPr>
        <w:t>Watermark_ID references a row in the Watermark table.</w:t>
      </w:r>
    </w:p>
    <w:p>
      <w:pPr>
        <w:pStyle w:val="ListBullet"/>
        <w:spacing w:after="60"/>
      </w:pPr>
      <w:r>
        <w:rPr>
          <w:sz w:val="20"/>
        </w:rPr>
        <w:t>For SQL sources: Watermark_Column identifies the datetime column. Source query wraps user-supplied query with WHERE {Watermark_Column} &gt; '{Watermark_Value}'.</w:t>
      </w:r>
    </w:p>
    <w:p>
      <w:pPr>
        <w:pStyle w:val="ListBullet"/>
        <w:spacing w:after="60"/>
      </w:pPr>
      <w:r>
        <w:rPr>
          <w:sz w:val="20"/>
        </w:rPr>
        <w:t>For file-based sources (ADLS): modifiedDatetimeStart in AzureBlobFSReadSettings filters files by last-modified timestamp. Watermark_Column is a documentation label only.</w:t>
      </w:r>
    </w:p>
    <w:p>
      <w:pPr>
        <w:pStyle w:val="ListBullet"/>
        <w:spacing w:after="60"/>
      </w:pPr>
      <w:r>
        <w:rPr>
          <w:sz w:val="20"/>
        </w:rPr>
        <w:t>After a successful copy that transfers data, a Script activity updates Watermark_Value to UTC now.</w:t>
      </w:r>
    </w:p>
    <w:p>
      <w:pPr>
        <w:pStyle w:val="ListBullet"/>
        <w:spacing w:after="60"/>
      </w:pPr>
      <w:r>
        <w:rPr>
          <w:sz w:val="20"/>
        </w:rPr>
        <w:t>Pipeline name carries the INCREMENTAL suffix.</w:t>
      </w:r>
    </w:p>
    <w:p/>
    <w:p>
      <w:pPr>
        <w:pStyle w:val="Heading1"/>
      </w:pPr>
      <w:r>
        <w:rPr>
          <w:color w:val="991B1B"/>
        </w:rPr>
        <w:t>09 — Incremental Pipeline Resilience</w:t>
      </w:r>
    </w:p>
    <w:p>
      <w:pPr>
        <w:spacing w:before="0" w:after="120"/>
      </w:pPr>
      <w:r>
        <w:rPr>
          <w:b w:val="0"/>
          <w:i w:val="0"/>
          <w:color w:val="1B2238"/>
        </w:rPr>
        <w:t>The incremental pipelines implement multiple defensive patterns to handle edge cases that would otherwise result in silent data loss, incorrect watermark advancement, or hard-to-diagnose failures. Each guard is implemented as a discrete ADF activity with explicit dependency conditions.</w:t>
      </w:r>
    </w:p>
    <w:tbl>
      <w:tblPr>
        <w:tblStyle w:val="TableGrid"/>
        <w:tblW w:type="auto" w:w="0"/>
        <w:tblLook w:firstColumn="1" w:firstRow="1" w:lastColumn="0" w:lastRow="0" w:noHBand="0" w:noVBand="1" w:val="04A0"/>
      </w:tblPr>
      <w:tblGrid>
        <w:gridCol w:w="9406"/>
      </w:tblGrid>
      <w:tr>
        <w:tc>
          <w:tcPr>
            <w:tcW w:type="dxa" w:w="9406"/>
            <w:shd w:val="clear" w:color="auto" w:fill="FEF2F2"/>
          </w:tcPr>
          <w:p>
            <w:pPr>
              <w:spacing w:before="80" w:after="80"/>
            </w:pPr>
            <w:r>
              <w:rPr>
                <w:color w:val="991B1B"/>
                <w:sz w:val="19"/>
              </w:rPr>
              <w:t>Why these guards matter: Without them, a pipeline could advance the watermark on a failed copy (losing the retry window), silently advance on an empty result (masking a missing data issue), or run indefinitely with a null watermark (copying all records on every run with no filtering). Each scenario below has been considered and explicitly handled.</w:t>
            </w:r>
          </w:p>
        </w:tc>
      </w:tr>
    </w:tbl>
    <w:p/>
    <w:tbl>
      <w:tblPr>
        <w:tblStyle w:val="TableGrid"/>
        <w:tblW w:type="auto" w:w="0"/>
        <w:tblLook w:firstColumn="1" w:firstRow="1" w:lastColumn="0" w:lastRow="0" w:noHBand="0" w:noVBand="1" w:val="04A0"/>
      </w:tblPr>
      <w:tblGrid>
        <w:gridCol w:w="9406"/>
      </w:tblGrid>
      <w:tr>
        <w:tc>
          <w:tcPr>
            <w:tcW w:type="dxa" w:w="9406"/>
            <w:shd w:val="clear" w:color="auto" w:fill="FEF2F2"/>
            <w:tcBorders>
              <w:top w:val="single" w:sz="16" w:space="0" w:color="991B1B"/>
              <w:left w:val="single" w:sz="16" w:space="0" w:color="991B1B"/>
              <w:bottom w:val="single" w:sz="16" w:space="0" w:color="991B1B"/>
              <w:right w:val="single" w:sz="16" w:space="0" w:color="991B1B"/>
            </w:tcBorders>
          </w:tcPr>
          <w:p>
            <w:pPr>
              <w:spacing w:before="80"/>
            </w:pPr>
            <w:r>
              <w:rPr>
                <w:rFonts w:ascii="Consolas" w:hAnsi="Consolas"/>
                <w:b/>
                <w:color w:val="991B1B"/>
                <w:sz w:val="18"/>
              </w:rPr>
              <w:t xml:space="preserve">[WM001]  </w:t>
            </w:r>
            <w:r>
              <w:rPr>
                <w:b/>
                <w:sz w:val="22"/>
              </w:rPr>
              <w:t>Null Watermark Validation</w:t>
            </w:r>
            <w:r>
              <w:rPr>
                <w:color w:val="854D0E"/>
                <w:sz w:val="16"/>
              </w:rPr>
              <w:t xml:space="preserve">  [Guard]</w:t>
            </w:r>
          </w:p>
          <w:p>
            <w:pPr>
              <w:spacing w:before="40" w:after="40"/>
            </w:pPr>
            <w:r>
              <w:rPr>
                <w:sz w:val="19"/>
              </w:rPr>
              <w:t>Risk: If Watermark_Column or Watermark_Value is null in the metadata, the incremental source filter cannot be constructed. The copy would proceed unfiltered, loading the entire source on every run — silently corrupting the incremental state.</w:t>
            </w:r>
          </w:p>
          <w:p>
            <w:pPr>
              <w:spacing w:before="40" w:after="40"/>
            </w:pPr>
            <w:r>
              <w:rPr>
                <w:sz w:val="19"/>
              </w:rPr>
              <w:t>Implementation: An IfCondition activity (Validate_Watermark) is placed as a sibling of the Switch activity inside ForEach. The Switch depends on Validate_Watermark succeeding. If either watermark field is null, a Fail_Invalid_Watermark activity fires with error code WM001, halting that ForEach iteration before the Switch — and therefore the Copy — ever runs.</w:t>
            </w:r>
          </w:p>
          <w:p>
            <w:pPr>
              <w:spacing w:before="40" w:after="40"/>
            </w:pPr>
            <w:r>
              <w:rPr>
                <w:sz w:val="19"/>
              </w:rPr>
              <w:t>Expression:  @or(equals(item().Watermark_Column, null), equals(item().Watermark_Value, null))</w:t>
            </w:r>
          </w:p>
          <w:p>
            <w:pPr>
              <w:spacing w:before="40" w:after="40"/>
            </w:pPr>
            <w:r>
              <w:rPr>
                <w:sz w:val="19"/>
              </w:rPr>
              <w:t>Switch dependency:  "dependsOn": [{"activity": "Validate_Watermark", "dependencyConditions": ["Succeeded"]}]</w:t>
            </w:r>
          </w:p>
          <w:p>
            <w:pPr>
              <w:spacing w:before="40" w:after="40"/>
            </w:pPr>
            <w:r>
              <w:rPr>
                <w:sz w:val="19"/>
              </w:rPr>
              <w:t>Why a sibling, not nested: ADF does not permit control flow activities (IfCondition, Switch, ForEach, Until) to be nested inside a Switch case. Promoting Validate_Watermark to ForEach level achieves the same guard without violating this constraint.</w:t>
            </w:r>
          </w:p>
          <w:p>
            <w:pPr>
              <w:spacing w:before="120"/>
            </w:pPr>
            <w:r>
              <w:rPr>
                <w:i/>
                <w:color w:val="6A788F"/>
                <w:sz w:val="17"/>
              </w:rPr>
              <w:t>Scope: All incremental cases in both PL_ASQL_ADLS_INCREMENTAL_INGRESS and PL_ADLS_ADLS_INCREMENTAL_INGRESS — the guard fires once per ForEach iteration, before either Switch executes</w:t>
            </w:r>
          </w:p>
        </w:tc>
      </w:tr>
    </w:tbl>
    <w:p/>
    <w:tbl>
      <w:tblPr>
        <w:tblStyle w:val="TableGrid"/>
        <w:tblW w:type="auto" w:w="0"/>
        <w:tblLook w:firstColumn="1" w:firstRow="1" w:lastColumn="0" w:lastRow="0" w:noHBand="0" w:noVBand="1" w:val="04A0"/>
      </w:tblPr>
      <w:tblGrid>
        <w:gridCol w:w="9406"/>
      </w:tblGrid>
      <w:tr>
        <w:tc>
          <w:tcPr>
            <w:tcW w:type="dxa" w:w="9406"/>
            <w:shd w:val="clear" w:color="auto" w:fill="FEF2F2"/>
            <w:tcBorders>
              <w:top w:val="single" w:sz="16" w:space="0" w:color="991B1B"/>
              <w:left w:val="single" w:sz="16" w:space="0" w:color="991B1B"/>
              <w:bottom w:val="single" w:sz="16" w:space="0" w:color="991B1B"/>
              <w:right w:val="single" w:sz="16" w:space="0" w:color="991B1B"/>
            </w:tcBorders>
          </w:tcPr>
          <w:p>
            <w:pPr>
              <w:spacing w:before="80"/>
            </w:pPr>
            <w:r>
              <w:rPr>
                <w:rFonts w:ascii="Consolas" w:hAnsi="Consolas"/>
                <w:b/>
                <w:color w:val="991B1B"/>
                <w:sz w:val="18"/>
              </w:rPr>
              <w:t xml:space="preserve">[ZR001]  </w:t>
            </w:r>
            <w:r>
              <w:rPr>
                <w:b/>
                <w:sz w:val="22"/>
              </w:rPr>
              <w:t>Zero-Rows / Zero-Files Guard</w:t>
            </w:r>
            <w:r>
              <w:rPr>
                <w:color w:val="854D0E"/>
                <w:sz w:val="16"/>
              </w:rPr>
              <w:t xml:space="preserve">  [Guard]</w:t>
            </w:r>
          </w:p>
          <w:p>
            <w:pPr>
              <w:spacing w:before="40" w:after="40"/>
            </w:pPr>
            <w:r>
              <w:rPr>
                <w:sz w:val="19"/>
              </w:rPr>
              <w:t>Risk: If the watermark-filtered source query returns zero rows (no new records), advancing the watermark would shift the boundary forward — causing the next run to miss records that arrive late within the original window.</w:t>
            </w:r>
          </w:p>
          <w:p>
            <w:pPr>
              <w:spacing w:before="40" w:after="40"/>
            </w:pPr>
            <w:r>
              <w:rPr>
                <w:sz w:val="19"/>
              </w:rPr>
              <w:t>Implementation: Rather than a separate IfCondition activity, the zero-rows check is folded directly into the Update_Watermark Script text as an @if() expression. If rowsCopied &gt; 0 (or filesRead &gt; 0 for binary), the UPDATE runs; otherwise the script executes a no-op SELECT 1 and the watermark stays unchanged.</w:t>
            </w:r>
          </w:p>
          <w:p>
            <w:pPr>
              <w:spacing w:before="40" w:after="40"/>
            </w:pPr>
            <w:r>
              <w:rPr>
                <w:sz w:val="19"/>
              </w:rPr>
              <w:t>Standard cases:  @if(greater(activity('Copy_...').output.rowsCopied, 0), concat('UPDATE w SET ...'), 'SELECT 1')</w:t>
            </w:r>
          </w:p>
          <w:p>
            <w:pPr>
              <w:spacing w:before="40" w:after="40"/>
            </w:pPr>
            <w:r>
              <w:rPr>
                <w:sz w:val="19"/>
              </w:rPr>
              <w:t>Binary case:  @if(greater(activity('Copy_ADLS_BINARY_to_ADLS_BINARY').output.filesRead, 0), concat('UPDATE w SET ...'), 'SELECT 1')</w:t>
            </w:r>
          </w:p>
          <w:p>
            <w:pPr>
              <w:spacing w:before="40" w:after="40"/>
            </w:pPr>
            <w:r>
              <w:rPr>
                <w:sz w:val="19"/>
              </w:rPr>
              <w:t>This approach eliminates a dedicated IfCondition activity, keeping each Switch case to two activities (Copy + Update_Watermark) while preserving the zero-rows safety guarantee.</w:t>
            </w:r>
          </w:p>
          <w:p>
            <w:pPr>
              <w:spacing w:before="120"/>
            </w:pPr>
            <w:r>
              <w:rPr>
                <w:i/>
                <w:color w:val="6A788F"/>
                <w:sz w:val="17"/>
              </w:rPr>
              <w:t>Scope: All incremental cases in both pipelines  |  Binary case checks filesRead; all other cases check rowsCopied</w:t>
            </w:r>
          </w:p>
        </w:tc>
      </w:tr>
    </w:tbl>
    <w:p/>
    <w:tbl>
      <w:tblPr>
        <w:tblStyle w:val="TableGrid"/>
        <w:tblW w:type="auto" w:w="0"/>
        <w:tblLook w:firstColumn="1" w:firstRow="1" w:lastColumn="0" w:lastRow="0" w:noHBand="0" w:noVBand="1" w:val="04A0"/>
      </w:tblPr>
      <w:tblGrid>
        <w:gridCol w:w="9406"/>
      </w:tblGrid>
      <w:tr>
        <w:tc>
          <w:tcPr>
            <w:tcW w:type="dxa" w:w="9406"/>
            <w:shd w:val="clear" w:color="auto" w:fill="FEF2F2"/>
            <w:tcBorders>
              <w:top w:val="single" w:sz="16" w:space="0" w:color="991B1B"/>
              <w:left w:val="single" w:sz="16" w:space="0" w:color="991B1B"/>
              <w:bottom w:val="single" w:sz="16" w:space="0" w:color="991B1B"/>
              <w:right w:val="single" w:sz="16" w:space="0" w:color="991B1B"/>
            </w:tcBorders>
          </w:tcPr>
          <w:p>
            <w:pPr>
              <w:spacing w:before="80"/>
            </w:pPr>
            <w:r>
              <w:rPr>
                <w:rFonts w:ascii="Consolas" w:hAnsi="Consolas"/>
                <w:b/>
                <w:color w:val="991B1B"/>
                <w:sz w:val="18"/>
              </w:rPr>
              <w:t xml:space="preserve">[CF001]  </w:t>
            </w:r>
            <w:r>
              <w:rPr>
                <w:b/>
                <w:sz w:val="22"/>
              </w:rPr>
              <w:t>Copy Failure Guard</w:t>
            </w:r>
            <w:r>
              <w:rPr>
                <w:color w:val="854D0E"/>
                <w:sz w:val="16"/>
              </w:rPr>
              <w:t xml:space="preserve">  [Guard]</w:t>
            </w:r>
          </w:p>
          <w:p>
            <w:pPr>
              <w:spacing w:before="40" w:after="40"/>
            </w:pPr>
            <w:r>
              <w:rPr>
                <w:sz w:val="19"/>
              </w:rPr>
              <w:t>Risk: If the Copy activity fails mid-run (network error, schema mismatch, throttling), a watermark update that runs regardless would lock the pipeline into a future time window — permanently skipping all records from the failed run's interval.</w:t>
            </w:r>
          </w:p>
          <w:p>
            <w:pPr>
              <w:spacing w:before="40" w:after="40"/>
            </w:pPr>
            <w:r>
              <w:rPr>
                <w:sz w:val="19"/>
              </w:rPr>
              <w:t>Implementation: The Update_Watermark Script activity has a direct Succeeded dependency on the Copy activity. If the Copy fails, Update_Watermark is skipped entirely. The watermark remains at the last known good boundary, ensuring the next retry re-processes the same time window.</w:t>
            </w:r>
          </w:p>
          <w:p>
            <w:pPr>
              <w:spacing w:before="40" w:after="40"/>
            </w:pPr>
            <w:r>
              <w:rPr>
                <w:sz w:val="19"/>
              </w:rPr>
              <w:t>Dependency:  "dependsOn": [{"activity": "Copy_...", "dependencyConditions": ["Succeeded"]}]</w:t>
            </w:r>
          </w:p>
          <w:p>
            <w:pPr>
              <w:spacing w:before="120"/>
            </w:pPr>
            <w:r>
              <w:rPr>
                <w:i/>
                <w:color w:val="6A788F"/>
                <w:sz w:val="17"/>
              </w:rPr>
              <w:t>Scope: All incremental cases in both PL_ASQL_ADLS_INCREMENTAL_INGRESS and PL_ADLS_ADLS_INCREMENTAL_INGRESS</w:t>
            </w:r>
          </w:p>
        </w:tc>
      </w:tr>
    </w:tbl>
    <w:p/>
    <w:tbl>
      <w:tblPr>
        <w:tblStyle w:val="TableGrid"/>
        <w:tblW w:type="auto" w:w="0"/>
        <w:tblLook w:firstColumn="1" w:firstRow="1" w:lastColumn="0" w:lastRow="0" w:noHBand="0" w:noVBand="1" w:val="04A0"/>
      </w:tblPr>
      <w:tblGrid>
        <w:gridCol w:w="9406"/>
      </w:tblGrid>
      <w:tr>
        <w:tc>
          <w:tcPr>
            <w:tcW w:type="dxa" w:w="9406"/>
            <w:shd w:val="clear" w:color="auto" w:fill="FEF2F2"/>
            <w:tcBorders>
              <w:top w:val="single" w:sz="16" w:space="0" w:color="991B1B"/>
              <w:left w:val="single" w:sz="16" w:space="0" w:color="991B1B"/>
              <w:bottom w:val="single" w:sz="16" w:space="0" w:color="991B1B"/>
              <w:right w:val="single" w:sz="16" w:space="0" w:color="991B1B"/>
            </w:tcBorders>
          </w:tcPr>
          <w:p>
            <w:pPr>
              <w:spacing w:before="80"/>
            </w:pPr>
            <w:r>
              <w:rPr>
                <w:rFonts w:ascii="Consolas" w:hAnsi="Consolas"/>
                <w:b/>
                <w:color w:val="991B1B"/>
                <w:sz w:val="18"/>
              </w:rPr>
              <w:t xml:space="preserve">[FW001]  </w:t>
            </w:r>
            <w:r>
              <w:rPr>
                <w:b/>
                <w:sz w:val="22"/>
              </w:rPr>
              <w:t>ADLS File-Modification Watermark</w:t>
            </w:r>
            <w:r>
              <w:rPr>
                <w:color w:val="854D0E"/>
                <w:sz w:val="16"/>
              </w:rPr>
              <w:t xml:space="preserve">  [Design]</w:t>
            </w:r>
          </w:p>
          <w:p>
            <w:pPr>
              <w:spacing w:before="40" w:after="40"/>
            </w:pPr>
            <w:r>
              <w:rPr>
                <w:sz w:val="19"/>
              </w:rPr>
              <w:t>Challenge: File-based sources on ADLS Gen2 have no SQL column that can be used to filter rows by a watermark value. The standard SQL approach (WHERE column &gt; value) cannot be applied to files.</w:t>
            </w:r>
          </w:p>
          <w:p>
            <w:pPr>
              <w:spacing w:before="40" w:after="40"/>
            </w:pPr>
            <w:r>
              <w:rPr>
                <w:sz w:val="19"/>
              </w:rPr>
              <w:t>Implementation: ADF's native modifiedDatetimeStart setting in AzureBlobFSReadSettings is used to filter files by their last-modified timestamp:</w:t>
            </w:r>
          </w:p>
          <w:p>
            <w:pPr>
              <w:spacing w:before="40" w:after="40"/>
            </w:pPr>
            <w:r>
              <w:rPr>
                <w:sz w:val="19"/>
              </w:rPr>
              <w:t>"modifiedDatetimeStart": { "value": "@formatDateTime(item().Watermark_Value, 'yyyy-MM-ddTHH:mm:ss')", "type": "Expression" }</w:t>
            </w:r>
          </w:p>
          <w:p>
            <w:pPr>
              <w:spacing w:before="40" w:after="40"/>
            </w:pPr>
            <w:r>
              <w:rPr>
                <w:sz w:val="19"/>
              </w:rPr>
              <w:t>Watermark_Column in the metadata row for file-based sources acts as a human-readable documentation label (e.g. FileModifiedDate) and is NOT used in the ADF filter expression. Only Watermark_Value is consumed at runtime.</w:t>
            </w:r>
          </w:p>
          <w:p>
            <w:pPr>
              <w:spacing w:before="120"/>
            </w:pPr>
            <w:r>
              <w:rPr>
                <w:i/>
                <w:color w:val="6A788F"/>
                <w:sz w:val="17"/>
              </w:rPr>
              <w:t>Scope: All 28 cases in PL_ADLS_ADLS_INCREMENTAL_INGRESS  |  Not applicable to ASQL incremental (SQL column filter used instead)</w:t>
            </w:r>
          </w:p>
        </w:tc>
      </w:tr>
    </w:tbl>
    <w:p/>
    <w:tbl>
      <w:tblPr>
        <w:tblStyle w:val="TableGrid"/>
        <w:tblW w:type="auto" w:w="0"/>
        <w:tblLook w:firstColumn="1" w:firstRow="1" w:lastColumn="0" w:lastRow="0" w:noHBand="0" w:noVBand="1" w:val="04A0"/>
      </w:tblPr>
      <w:tblGrid>
        <w:gridCol w:w="9406"/>
      </w:tblGrid>
      <w:tr>
        <w:tc>
          <w:tcPr>
            <w:tcW w:type="dxa" w:w="9406"/>
            <w:shd w:val="clear" w:color="auto" w:fill="FEF2F2"/>
            <w:tcBorders>
              <w:top w:val="single" w:sz="16" w:space="0" w:color="991B1B"/>
              <w:left w:val="single" w:sz="16" w:space="0" w:color="991B1B"/>
              <w:bottom w:val="single" w:sz="16" w:space="0" w:color="991B1B"/>
              <w:right w:val="single" w:sz="16" w:space="0" w:color="991B1B"/>
            </w:tcBorders>
          </w:tcPr>
          <w:p>
            <w:pPr>
              <w:spacing w:before="80"/>
            </w:pPr>
            <w:r>
              <w:rPr>
                <w:rFonts w:ascii="Consolas" w:hAnsi="Consolas"/>
                <w:b/>
                <w:color w:val="991B1B"/>
                <w:sz w:val="18"/>
              </w:rPr>
              <w:t xml:space="preserve">[BN001]  </w:t>
            </w:r>
            <w:r>
              <w:rPr>
                <w:b/>
                <w:sz w:val="22"/>
              </w:rPr>
              <w:t>Binary File Metric Substitution</w:t>
            </w:r>
            <w:r>
              <w:rPr>
                <w:color w:val="854D0E"/>
                <w:sz w:val="16"/>
              </w:rPr>
              <w:t xml:space="preserve">  [Design]</w:t>
            </w:r>
          </w:p>
          <w:p>
            <w:pPr>
              <w:spacing w:before="40" w:after="40"/>
            </w:pPr>
            <w:r>
              <w:rPr>
                <w:sz w:val="19"/>
              </w:rPr>
              <w:t>Challenge: ADF's Binary Copy activities do not report rowsCopied — binary transfers report filesRead and filesWritten instead. Using rowsCopied for the zero-rows guard would always evaluate to zero, causing the watermark to never advance for binary jobs.</w:t>
            </w:r>
          </w:p>
          <w:p>
            <w:pPr>
              <w:spacing w:before="40" w:after="40"/>
            </w:pPr>
            <w:r>
              <w:rPr>
                <w:sz w:val="19"/>
              </w:rPr>
              <w:t>Implementation: The binary incremental case uses filesRead in the guard condition:</w:t>
            </w:r>
          </w:p>
          <w:p>
            <w:pPr>
              <w:spacing w:before="40" w:after="40"/>
            </w:pPr>
            <w:r>
              <w:rPr>
                <w:sz w:val="19"/>
              </w:rPr>
              <w:t>@greater(activity('Copy_ADLS_BINARY_to_ADLS_BINARY').output.filesRead, 0)</w:t>
            </w:r>
          </w:p>
          <w:p>
            <w:pPr>
              <w:spacing w:before="40" w:after="40"/>
            </w:pPr>
            <w:r>
              <w:rPr>
                <w:sz w:val="19"/>
              </w:rPr>
              <w:t>The Update_Watermark Script activity is otherwise identical to all other incremental cases — only the guard metric differs.</w:t>
            </w:r>
          </w:p>
          <w:p>
            <w:pPr>
              <w:spacing w:before="120"/>
            </w:pPr>
            <w:r>
              <w:rPr>
                <w:i/>
                <w:color w:val="6A788F"/>
                <w:sz w:val="17"/>
              </w:rPr>
              <w:t>Scope: Binary-to-binary switch case only (SW_ADLS_SAMI_BINARY_ADLS_SAMI_BINARY) in PL_ADLS_ADLS_INCREMENTAL_INGRESS</w:t>
            </w:r>
          </w:p>
        </w:tc>
      </w:tr>
    </w:tbl>
    <w:p/>
    <w:tbl>
      <w:tblPr>
        <w:tblStyle w:val="TableGrid"/>
        <w:tblW w:type="auto" w:w="0"/>
        <w:tblLook w:firstColumn="1" w:firstRow="1" w:lastColumn="0" w:lastRow="0" w:noHBand="0" w:noVBand="1" w:val="04A0"/>
      </w:tblPr>
      <w:tblGrid>
        <w:gridCol w:w="9406"/>
      </w:tblGrid>
      <w:tr>
        <w:tc>
          <w:tcPr>
            <w:tcW w:type="dxa" w:w="9406"/>
            <w:shd w:val="clear" w:color="auto" w:fill="FEF2F2"/>
            <w:tcBorders>
              <w:top w:val="single" w:sz="16" w:space="0" w:color="991B1B"/>
              <w:left w:val="single" w:sz="16" w:space="0" w:color="991B1B"/>
              <w:bottom w:val="single" w:sz="16" w:space="0" w:color="991B1B"/>
              <w:right w:val="single" w:sz="16" w:space="0" w:color="991B1B"/>
            </w:tcBorders>
          </w:tcPr>
          <w:p>
            <w:pPr>
              <w:spacing w:before="80"/>
            </w:pPr>
            <w:r>
              <w:rPr>
                <w:rFonts w:ascii="Consolas" w:hAnsi="Consolas"/>
                <w:b/>
                <w:color w:val="991B1B"/>
                <w:sz w:val="18"/>
              </w:rPr>
              <w:t xml:space="preserve">[NC001]  </w:t>
            </w:r>
            <w:r>
              <w:rPr>
                <w:b/>
                <w:sz w:val="22"/>
              </w:rPr>
              <w:t>No Nested Control Activities</w:t>
            </w:r>
            <w:r>
              <w:rPr>
                <w:color w:val="854D0E"/>
                <w:sz w:val="16"/>
              </w:rPr>
              <w:t xml:space="preserve">  [Constraint]</w:t>
            </w:r>
          </w:p>
          <w:p>
            <w:pPr>
              <w:spacing w:before="40" w:after="40"/>
            </w:pPr>
            <w:r>
              <w:rPr>
                <w:sz w:val="19"/>
              </w:rPr>
              <w:t>Constraint: ADF does not allow control flow activities (IfCondition, Switch, ForEach, Until) to be nested inside another control flow activity of those same types. An IfCondition inside a Switch case, or a Switch inside an IfCondition, is a validation error.</w:t>
            </w:r>
          </w:p>
          <w:p>
            <w:pPr>
              <w:spacing w:before="40" w:after="40"/>
            </w:pPr>
            <w:r>
              <w:rPr>
                <w:sz w:val="19"/>
              </w:rPr>
              <w:t>Impact on this framework: The original design placed Validate_Watermark inside each Switch case and Check_Rows_Copied inside the Copy success branch — both nested control activities. ADF rejected both pipelines on validation.</w:t>
            </w:r>
          </w:p>
          <w:p>
            <w:pPr>
              <w:spacing w:before="40" w:after="40"/>
            </w:pPr>
            <w:r>
              <w:rPr>
                <w:sz w:val="19"/>
              </w:rPr>
              <w:t>Resolution:</w:t>
            </w:r>
          </w:p>
          <w:p>
            <w:pPr>
              <w:spacing w:before="40" w:after="40"/>
            </w:pPr>
            <w:r>
              <w:rPr>
                <w:sz w:val="19"/>
              </w:rPr>
              <w:t xml:space="preserve">  - Validate_Watermark was promoted to a ForEach-level sibling of the Switch, with the Switch     carrying a Succeeded dependency on it (see WM001).</w:t>
            </w:r>
          </w:p>
          <w:p>
            <w:pPr>
              <w:spacing w:before="40" w:after="40"/>
            </w:pPr>
            <w:r>
              <w:rPr>
                <w:sz w:val="19"/>
              </w:rPr>
              <w:t xml:space="preserve">  - Check_Rows_Copied was eliminated entirely and its logic folded into the Update_Watermark     Script as an @if() expression (see ZR001).</w:t>
            </w:r>
          </w:p>
          <w:p>
            <w:pPr>
              <w:spacing w:before="120"/>
            </w:pPr>
            <w:r>
              <w:rPr>
                <w:i/>
                <w:color w:val="6A788F"/>
                <w:sz w:val="17"/>
              </w:rPr>
              <w:t>Scope: Applies to all ADF pipelines — any design that requires conditional logic inside a Switch case must use expression-level branching (@if()) rather than a separate IfCondition activity</w:t>
            </w:r>
          </w:p>
        </w:tc>
      </w:tr>
    </w:tbl>
    <w:p/>
    <w:tbl>
      <w:tblPr>
        <w:tblStyle w:val="TableGrid"/>
        <w:tblW w:type="auto" w:w="0"/>
        <w:tblLook w:firstColumn="1" w:firstRow="1" w:lastColumn="0" w:lastRow="0" w:noHBand="0" w:noVBand="1" w:val="04A0"/>
      </w:tblPr>
      <w:tblGrid>
        <w:gridCol w:w="9406"/>
      </w:tblGrid>
      <w:tr>
        <w:tc>
          <w:tcPr>
            <w:tcW w:type="dxa" w:w="9406"/>
            <w:shd w:val="clear" w:color="auto" w:fill="FEF2F2"/>
            <w:tcBorders>
              <w:top w:val="single" w:sz="16" w:space="0" w:color="991B1B"/>
              <w:left w:val="single" w:sz="16" w:space="0" w:color="991B1B"/>
              <w:bottom w:val="single" w:sz="16" w:space="0" w:color="991B1B"/>
              <w:right w:val="single" w:sz="16" w:space="0" w:color="991B1B"/>
            </w:tcBorders>
          </w:tcPr>
          <w:p>
            <w:pPr>
              <w:spacing w:before="80"/>
            </w:pPr>
            <w:r>
              <w:rPr>
                <w:rFonts w:ascii="Consolas" w:hAnsi="Consolas"/>
                <w:b/>
                <w:color w:val="991B1B"/>
                <w:sz w:val="18"/>
              </w:rPr>
              <w:t xml:space="preserve">[SW025]  </w:t>
            </w:r>
            <w:r>
              <w:rPr>
                <w:b/>
                <w:sz w:val="22"/>
              </w:rPr>
              <w:t>Switch 25-Case Limit</w:t>
            </w:r>
            <w:r>
              <w:rPr>
                <w:color w:val="854D0E"/>
                <w:sz w:val="16"/>
              </w:rPr>
              <w:t xml:space="preserve">  [Constraint]</w:t>
            </w:r>
          </w:p>
          <w:p>
            <w:pPr>
              <w:spacing w:before="40" w:after="40"/>
            </w:pPr>
            <w:r>
              <w:rPr>
                <w:sz w:val="19"/>
              </w:rPr>
              <w:t>Constraint: ADF enforces a hard limit of 25 cases per Switch activity. The ADLS pipelines originally had 28 cases in a single Switch, which exceeded this limit.</w:t>
            </w:r>
          </w:p>
          <w:p>
            <w:pPr>
              <w:spacing w:before="40" w:after="40"/>
            </w:pPr>
            <w:r>
              <w:rPr>
                <w:sz w:val="19"/>
              </w:rPr>
              <w:t>Resolution: Each ADLS pipeline uses two sibling Switch activities inside ForEach:</w:t>
            </w:r>
          </w:p>
          <w:p>
            <w:pPr>
              <w:spacing w:before="40" w:after="40"/>
            </w:pPr>
            <w:r>
              <w:rPr>
                <w:sz w:val="19"/>
              </w:rPr>
              <w:t xml:space="preserve">  - Switch_OutputFormat — 10 uncompressed cases (CSV/Parquet/JSON sources x CSV/Parquet/JSON targets + Binary)</w:t>
            </w:r>
          </w:p>
          <w:p>
            <w:pPr>
              <w:spacing w:before="40" w:after="40"/>
            </w:pPr>
            <w:r>
              <w:rPr>
                <w:sz w:val="19"/>
              </w:rPr>
              <w:t xml:space="preserve">  - Switch_OutputFormat_Compressed — 18 compressed cases (GZIP/ZIP/TarGzip x CSV/JSON sources x CSV/Parquet/JSON targets)</w:t>
            </w:r>
          </w:p>
          <w:p>
            <w:pPr>
              <w:spacing w:before="40" w:after="40"/>
            </w:pPr>
            <w:r>
              <w:rPr>
                <w:sz w:val="19"/>
              </w:rPr>
              <w:t>Each Switch has an empty defaultActivities block. A SwitchCaseRef that does not match in one Switch silently no-ops there and is handled by the other Switch.</w:t>
            </w:r>
          </w:p>
          <w:p>
            <w:pPr>
              <w:spacing w:before="40" w:after="40"/>
            </w:pPr>
            <w:r>
              <w:rPr>
                <w:sz w:val="19"/>
              </w:rPr>
              <w:t>Activity count (ADLS incremental): Lookup + ForEach + Validate_Watermark + Switch (20) + Switch_Compressed (36) = 62  (well within 120-activity limit)</w:t>
            </w:r>
          </w:p>
          <w:p>
            <w:pPr>
              <w:spacing w:before="120"/>
            </w:pPr>
            <w:r>
              <w:rPr>
                <w:i/>
                <w:color w:val="6A788F"/>
                <w:sz w:val="17"/>
              </w:rPr>
              <w:t>Scope: PL_ADLS_ADLS_FULL_INGRESS and PL_ADLS_ADLS_INCREMENTAL_INGRESS  |  Any future pipeline with more than 25 source/format combinations must use the same split-Switch pattern</w:t>
            </w:r>
          </w:p>
        </w:tc>
      </w:tr>
    </w:tbl>
    <w:p/>
    <w:p>
      <w:pPr>
        <w:pStyle w:val="Heading2"/>
      </w:pPr>
      <w:r>
        <w:t>Watermark Update — Script Activity</w:t>
      </w:r>
    </w:p>
    <w:p>
      <w:pPr>
        <w:spacing w:before="0" w:after="120"/>
      </w:pPr>
      <w:r>
        <w:rPr>
          <w:b w:val="0"/>
          <w:i w:val="0"/>
        </w:rPr>
        <w:t>Each incremental Switch case contains a single Update_Watermark Script activity that depends on the Copy activity succeeding (CF001). The script text is an @if() expression that checks rowsCopied (or filesRead for binary) and either executes the UPDATE or falls back to a no-op SELECT 1 (ZR001). Full expression for a standard case:</w:t>
      </w:r>
    </w:p>
    <w:p>
      <w:pPr>
        <w:spacing w:before="80" w:after="160"/>
        <w:shd w:val="clear" w:color="auto" w:fill="EBF0F8"/>
      </w:pPr>
      <w:r>
        <w:rPr>
          <w:rFonts w:ascii="Consolas" w:hAnsi="Consolas"/>
          <w:color w:val="485670"/>
          <w:sz w:val="16"/>
        </w:rPr>
        <w:t>@if(</w:t>
        <w:br/>
        <w:t xml:space="preserve">  greater(activity('Copy_...').output.rowsCopied, 0),</w:t>
        <w:br/>
        <w:t xml:space="preserve">  concat(</w:t>
        <w:br/>
        <w:t xml:space="preserve">    'UPDATE w SET w.Watermark_Value = CONVERT(DATETIME, ''',</w:t>
        <w:br/>
        <w:t xml:space="preserve">    formatDateTime(utcNow(), 'yyyy-MM-dd HH:mm:ss'),</w:t>
        <w:br/>
        <w:t xml:space="preserve">    ''') FROM EDP_Metadata.Watermark w ',</w:t>
        <w:br/>
        <w:t xml:space="preserve">    'JOIN EDP_Metadata.MetadataRef m ON m.Watermark_ID = w.Watermark_ID ',</w:t>
        <w:br/>
        <w:t xml:space="preserve">    'WHERE m.Metadata_ID = ', string(item().Metadata_ID)</w:t>
        <w:br/>
        <w:t xml:space="preserve">  ),</w:t>
        <w:br/>
        <w:t xml:space="preserve">  'SELECT 1'</w:t>
        <w:br/>
        <w:t>)</w:t>
      </w:r>
    </w:p>
    <w:p>
      <w:pPr>
        <w:spacing w:before="0" w:after="120"/>
      </w:pPr>
      <w:r>
        <w:rPr>
          <w:b w:val="0"/>
          <w:i w:val="0"/>
        </w:rPr>
        <w:t>The script uses commandType: NonQuery, connected to LS_ASQL_SAMI with serverName and databaseName resolved from ADF Global Parameters. No watermark coordinates are hardcoded in the pipeline definition.</w:t>
      </w:r>
    </w:p>
    <w:p>
      <w:pPr>
        <w:pStyle w:val="Heading1"/>
      </w:pPr>
      <w:r>
        <w:rPr>
          <w:color w:val="0B68B0"/>
        </w:rPr>
        <w:t>10 — Naming Conventions</w:t>
      </w:r>
    </w:p>
    <w:p>
      <w:pPr>
        <w:spacing w:before="0" w:after="120"/>
      </w:pPr>
      <w:r>
        <w:rPr>
          <w:b w:val="0"/>
          <w:i w:val="0"/>
        </w:rPr>
        <w:t>All ADF artifact names are derived from metadata, not manually assigned. The MasterRef view computes pipeline names and switch case references at runtime from the source, target, load type, and connector combination registered in the reference tables.</w:t>
      </w:r>
    </w:p>
    <w:p>
      <w:pPr>
        <w:pStyle w:val="Heading2"/>
      </w:pPr>
      <w:r>
        <w:t>Pipeline Name</w:t>
      </w:r>
    </w:p>
    <w:p>
      <w:pPr>
        <w:spacing w:before="80" w:after="160"/>
        <w:shd w:val="clear" w:color="auto" w:fill="EBF0F8"/>
      </w:pPr>
      <w:r>
        <w:rPr>
          <w:rFonts w:ascii="Consolas" w:hAnsi="Consolas"/>
          <w:color w:val="485670"/>
          <w:sz w:val="16"/>
        </w:rPr>
        <w:t>PL_{InputSource}_{OutputSource}_{FULL|INCREMENTAL}_{INGRESS|EGRESS}</w:t>
        <w:br/>
        <w:br/>
        <w:t>Examples:</w:t>
        <w:br/>
        <w:t xml:space="preserve">  PL_ASQL_ADLS_FULL_INGRESS          Full refresh, Azure SQL source to ADLS Gen2 target</w:t>
        <w:br/>
        <w:t xml:space="preserve">  PL_ASQL_ADLS_INCREMENTAL_INGRESS   Incremental, Azure SQL source to ADLS Gen2 target</w:t>
        <w:br/>
        <w:t xml:space="preserve">  PL_ADLS_ADLS_FULL_INGRESS          Full refresh, ADLS Gen2 source to ADLS Gen2 target</w:t>
        <w:br/>
        <w:t xml:space="preserve">  PL_ADLS_ADLS_INCREMENTAL_INGRESS   Incremental, ADLS Gen2 source to ADLS Gen2 target</w:t>
        <w:br/>
        <w:t xml:space="preserve">  PL_REST_ADLS_FULL_INGRESS          Full refresh, REST API source to ADLS Gen2 target</w:t>
      </w:r>
    </w:p>
    <w:p>
      <w:pPr>
        <w:pStyle w:val="Heading2"/>
      </w:pPr>
      <w:r>
        <w:t>Dataset Name</w:t>
      </w:r>
    </w:p>
    <w:p>
      <w:pPr>
        <w:spacing w:before="80" w:after="160"/>
        <w:shd w:val="clear" w:color="auto" w:fill="EBF0F8"/>
      </w:pPr>
      <w:r>
        <w:rPr>
          <w:rFonts w:ascii="Consolas" w:hAnsi="Consolas"/>
          <w:color w:val="485670"/>
          <w:sz w:val="16"/>
        </w:rPr>
        <w:t>DS_{Source_Ref}_{Format}</w:t>
        <w:br/>
        <w:br/>
        <w:t>Examples:</w:t>
        <w:br/>
        <w:t xml:space="preserve">  DS_ADLS_PARQUET        ADLS Gen2 with Parquet format (uncompressed)</w:t>
        <w:br/>
        <w:t xml:space="preserve">  DS_ADLS_CSV            ADLS Gen2 with CSV format (uncompressed)</w:t>
        <w:br/>
        <w:t xml:space="preserve">  DS_ADLS_GZIP_CSV       ADLS Gen2 with CSV format, GZIP compressed</w:t>
        <w:br/>
        <w:t xml:space="preserve">  DS_ADLS_ZIP_CSV        ADLS Gen2 with CSV format, ZIP (ZipDeflate) compressed</w:t>
        <w:br/>
        <w:t xml:space="preserve">  DS_ADLS_TARGZIP_CSV    ADLS Gen2 with CSV format, TarGzip compressed</w:t>
        <w:br/>
        <w:t xml:space="preserve">  DS_ADLS_GZIP_JSON      ADLS Gen2 with JSON format, GZIP compressed</w:t>
        <w:br/>
        <w:t xml:space="preserve">  DS_ADLS_BINARY         ADLS Gen2, binary pass-through (no format parsing)</w:t>
        <w:br/>
        <w:t xml:space="preserve">  DS_ASQL_TABLE          Azure SQL -- table-based, no file format</w:t>
        <w:br/>
        <w:t xml:space="preserve">  DS_REST_JSON           REST API -- JSON response landing</w:t>
      </w:r>
    </w:p>
    <w:p>
      <w:pPr>
        <w:pStyle w:val="Heading2"/>
      </w:pPr>
      <w:r>
        <w:t>Linked Service Name</w:t>
      </w:r>
    </w:p>
    <w:p>
      <w:pPr>
        <w:spacing w:before="80" w:after="160"/>
        <w:shd w:val="clear" w:color="auto" w:fill="EBF0F8"/>
      </w:pPr>
      <w:r>
        <w:rPr>
          <w:rFonts w:ascii="Consolas" w:hAnsi="Consolas"/>
          <w:color w:val="485670"/>
          <w:sz w:val="16"/>
        </w:rPr>
        <w:t>LS_{Source_Ref}_{Auth_Ref}</w:t>
        <w:br/>
        <w:br/>
        <w:t>Examples:</w:t>
        <w:br/>
        <w:t xml:space="preserve">  LS_ADLS_SAMI       ADLS Gen2 with System-Assigned Managed Identity</w:t>
        <w:br/>
        <w:t xml:space="preserve">  LS_ASQL_SAMI       Azure SQL with System-Assigned Managed Identity (v2.0)</w:t>
        <w:br/>
        <w:t xml:space="preserve">  LS_SFTP_BASIC      SFTP with Basic (username/password) authentication</w:t>
        <w:br/>
        <w:t xml:space="preserve">  LS_SFTP_SSH        SFTP with SSH public key authentication</w:t>
        <w:br/>
        <w:t xml:space="preserve">  LS_REST_ANON       REST API with Anonymous authentication</w:t>
      </w:r>
    </w:p>
    <w:p>
      <w:pPr>
        <w:pStyle w:val="Heading2"/>
      </w:pPr>
      <w:r>
        <w:t>Switch Case Reference</w:t>
      </w:r>
    </w:p>
    <w:p>
      <w:pPr>
        <w:spacing w:before="80" w:after="160"/>
        <w:shd w:val="clear" w:color="auto" w:fill="EBF0F8"/>
      </w:pPr>
      <w:r>
        <w:rPr>
          <w:rFonts w:ascii="Consolas" w:hAnsi="Consolas"/>
          <w:color w:val="485670"/>
          <w:sz w:val="16"/>
        </w:rPr>
        <w:t>SW_{InputLinkedService}_{InputFormat}_{OutputLinkedService}_{OutputFormat}</w:t>
        <w:br/>
        <w:br/>
        <w:t>Where LinkedService = linked service name with leading "LS_" removed.</w:t>
        <w:br/>
        <w:br/>
        <w:t>Examples:</w:t>
        <w:br/>
        <w:t xml:space="preserve">  SW_ASQL_SAMI_TABLE_ADLS_SAMI_CSV         Azure SQL to ADLS CSV</w:t>
        <w:br/>
        <w:t xml:space="preserve">  SW_ADLS_SAMI_GZIP_CSV_ADLS_SAMI_PARQUET  ADLS GZIP-CSV source to ADLS Parquet</w:t>
        <w:br/>
        <w:t xml:space="preserve">  SW_ADLS_SAMI_BINARY_ADLS_SAMI_BINARY     ADLS binary pass-through</w:t>
        <w:br/>
        <w:t xml:space="preserve">  SW_REST_ANON_JSON_ADLS_SAMI_JSON         REST API JSON to ADLS JSON</w:t>
        <w:br/>
        <w:br/>
        <w:t>Computed by MasterRef at runtime to uniquely identify each source/target/format combination.</w:t>
      </w:r>
    </w:p>
    <w:p>
      <w:pPr>
        <w:pStyle w:val="Heading1"/>
      </w:pPr>
      <w:r>
        <w:rPr>
          <w:color w:val="0B68B0"/>
        </w:rPr>
        <w:t>11 — Design Principles</w:t>
      </w:r>
    </w:p>
    <w:p>
      <w:pPr>
        <w:spacing w:before="80" w:after="80"/>
      </w:pPr>
      <w:r>
        <w:rPr>
          <w:b/>
          <w:color w:val="0B68B0"/>
        </w:rPr>
        <w:t xml:space="preserve">Metadata-Driven Architecture: </w:t>
      </w:r>
      <w:r>
        <w:rPr>
          <w:sz w:val="20"/>
        </w:rPr>
        <w:t>Pipeline behaviour is fully parameterized. No source path, connection detail, file format, or load type is hardcoded in any ADF pipeline definition. All execution decisions are resolved at runtime from the metadata control plane.</w:t>
      </w:r>
    </w:p>
    <w:p>
      <w:pPr>
        <w:spacing w:before="80" w:after="80"/>
      </w:pPr>
      <w:r>
        <w:rPr>
          <w:b/>
          <w:color w:val="0B68B0"/>
        </w:rPr>
        <w:t xml:space="preserve">Separation of Configuration from Execution: </w:t>
      </w:r>
      <w:r>
        <w:rPr>
          <w:sz w:val="20"/>
        </w:rPr>
        <w:t>The metadata layer owns what to do; ADF owns how to do it. Operational and configuration changes require no pipeline modification or redeployment — they are made purely in the metadata.</w:t>
      </w:r>
    </w:p>
    <w:p>
      <w:pPr>
        <w:spacing w:before="80" w:after="80"/>
      </w:pPr>
      <w:r>
        <w:rPr>
          <w:b/>
          <w:color w:val="0B68B0"/>
        </w:rPr>
        <w:t xml:space="preserve">Single Source of Truth: </w:t>
      </w:r>
      <w:r>
        <w:rPr>
          <w:sz w:val="20"/>
        </w:rPr>
        <w:t>All ingestion configuration lives in EDP_Metadata.MetadataRef. No configuration is duplicated across pipelines, environments, or teams. The MasterRef view exposes a complete denormalized runtime view over this single source.</w:t>
      </w:r>
    </w:p>
    <w:p>
      <w:pPr>
        <w:spacing w:before="80" w:after="80"/>
      </w:pPr>
      <w:r>
        <w:rPr>
          <w:b/>
          <w:color w:val="0B68B0"/>
        </w:rPr>
        <w:t xml:space="preserve">Centralised Operational Control: </w:t>
      </w:r>
      <w:r>
        <w:rPr>
          <w:sz w:val="20"/>
        </w:rPr>
        <w:t>The IsActive flag provides a master on/off switch for any ingestion job without touching ADF triggers or pipeline definitions. Operational state is managed in data, not in infrastructure.</w:t>
      </w:r>
    </w:p>
    <w:p>
      <w:pPr>
        <w:spacing w:before="80" w:after="80"/>
      </w:pPr>
      <w:r>
        <w:rPr>
          <w:b/>
          <w:color w:val="0B68B0"/>
        </w:rPr>
        <w:t xml:space="preserve">Convention over Configuration: </w:t>
      </w:r>
      <w:r>
        <w:rPr>
          <w:sz w:val="20"/>
        </w:rPr>
        <w:t>Strict, computed naming conventions for pipelines, datasets, linked services, and switch cases are enforced by the metadata schema. Consistent naming reduces cognitive load and enables automated operational tooling.</w:t>
      </w:r>
    </w:p>
    <w:p>
      <w:pPr>
        <w:spacing w:before="80" w:after="80"/>
      </w:pPr>
      <w:r>
        <w:rPr>
          <w:b/>
          <w:color w:val="0B68B0"/>
        </w:rPr>
        <w:t xml:space="preserve">Auditability by Design: </w:t>
      </w:r>
      <w:r>
        <w:rPr>
          <w:sz w:val="20"/>
        </w:rPr>
        <w:t>Every row in MetadataRef carries Created_Date, Modified_Date, and Modified_By — populated automatically by database defaults. Configuration change history is inherent to the data model, not an afterthought.</w:t>
      </w:r>
    </w:p>
    <w:p>
      <w:pPr>
        <w:spacing w:before="80" w:after="80"/>
      </w:pPr>
      <w:r>
        <w:rPr>
          <w:b/>
          <w:color w:val="0B68B0"/>
        </w:rPr>
        <w:t xml:space="preserve">Defensive Incremental Loading: </w:t>
      </w:r>
      <w:r>
        <w:rPr>
          <w:sz w:val="20"/>
        </w:rPr>
        <w:t>Incremental pipelines implement multiple explicit guards: null watermark validation, zero-rows checks before advancing the boundary, and Copy Succeeded dependency conditions on watermark updates. Watermarks are never advanced on failure or empty results.</w:t>
      </w:r>
    </w:p>
    <w:p>
      <w:pPr>
        <w:spacing w:before="80" w:after="80"/>
      </w:pPr>
      <w:r>
        <w:rPr>
          <w:b/>
          <w:color w:val="0B68B0"/>
        </w:rPr>
        <w:t xml:space="preserve">Extensibility: </w:t>
      </w:r>
      <w:r>
        <w:rPr>
          <w:sz w:val="20"/>
        </w:rPr>
        <w:t>Adding a new data source, file format, or authentication type requires only inserting reference rows into the appropriate lookup tables. The generic pipeline accommodates new source/target combinations without any pipeline modification.</w:t>
      </w:r>
    </w:p>
    <w:p>
      <w:pPr>
        <w:spacing w:before="80" w:after="80"/>
      </w:pPr>
      <w:r>
        <w:rPr>
          <w:b/>
          <w:color w:val="0B68B0"/>
        </w:rPr>
        <w:t xml:space="preserve">Idempotent Infrastructure: </w:t>
      </w:r>
      <w:r>
        <w:rPr>
          <w:sz w:val="20"/>
        </w:rPr>
        <w:t>All DDL scripts use IF NOT EXISTS guards and include schema upgrade paths. The schema can be safely re-applied across environments without destructive side effects.</w:t>
      </w:r>
    </w:p>
    <w:p/>
    <w:p>
      <w:pPr>
        <w:pStyle w:val="Heading1"/>
      </w:pPr>
      <w:r>
        <w:rPr>
          <w:color w:val="0B68B0"/>
        </w:rPr>
        <w:t>12 — Data Fabric Alignment</w:t>
      </w:r>
    </w:p>
    <w:p>
      <w:pPr>
        <w:spacing w:before="0" w:after="120"/>
      </w:pPr>
      <w:r>
        <w:rPr>
          <w:b w:val="0"/>
          <w:i w:val="0"/>
        </w:rPr>
        <w:t>The framework aligns with several foundational principles of modern Data Fabric architecture, specifically those concerned with active metadata management, unified cataloguing, and governed connectivity.</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B2238"/>
          </w:tcPr>
          <w:p>
            <w:r>
              <w:rPr>
                <w:b/>
                <w:color w:val="FFFFFF"/>
                <w:sz w:val="18"/>
              </w:rPr>
              <w:t>Data Fabric Principle</w:t>
            </w:r>
          </w:p>
        </w:tc>
        <w:tc>
          <w:tcPr>
            <w:tcW w:type="dxa" w:w="4703"/>
            <w:shd w:val="clear" w:color="auto" w:fill="1B2238"/>
          </w:tcPr>
          <w:p>
            <w:r>
              <w:rPr>
                <w:b/>
                <w:color w:val="FFFFFF"/>
                <w:sz w:val="18"/>
              </w:rPr>
              <w:t>How the Framework Addresses It</w:t>
            </w:r>
          </w:p>
        </w:tc>
      </w:tr>
      <w:tr>
        <w:tc>
          <w:tcPr>
            <w:tcW w:type="dxa" w:w="4703"/>
            <w:shd w:val="clear" w:color="auto" w:fill="FFFFFF"/>
          </w:tcPr>
          <w:p>
            <w:r>
              <w:rPr>
                <w:sz w:val="18"/>
              </w:rPr>
              <w:t>Active Metadata Management</w:t>
            </w:r>
          </w:p>
        </w:tc>
        <w:tc>
          <w:tcPr>
            <w:tcW w:type="dxa" w:w="4703"/>
            <w:shd w:val="clear" w:color="auto" w:fill="FFFFFF"/>
          </w:tcPr>
          <w:p>
            <w:r>
              <w:rPr>
                <w:sz w:val="18"/>
              </w:rPr>
              <w:t>MetadataRef is a live operational control plane — not passive documentation. It actively governs pipeline behaviour at execution time, making metadata the direct engine of data movement.</w:t>
            </w:r>
          </w:p>
        </w:tc>
      </w:tr>
      <w:tr>
        <w:tc>
          <w:tcPr>
            <w:tcW w:type="dxa" w:w="4703"/>
            <w:shd w:val="clear" w:color="auto" w:fill="EBF0F8"/>
          </w:tcPr>
          <w:p>
            <w:r>
              <w:rPr>
                <w:sz w:val="18"/>
              </w:rPr>
              <w:t>Unified Data Catalogue</w:t>
            </w:r>
          </w:p>
        </w:tc>
        <w:tc>
          <w:tcPr>
            <w:tcW w:type="dxa" w:w="4703"/>
            <w:shd w:val="clear" w:color="auto" w:fill="EBF0F8"/>
          </w:tcPr>
          <w:p>
            <w:r>
              <w:rPr>
                <w:sz w:val="18"/>
              </w:rPr>
              <w:t>All sources, target types, file formats, authentication methods, and connection configurations are centrally registered in the EDP_Metadata schema. No shadow configurations exist outside this registry.</w:t>
            </w:r>
          </w:p>
        </w:tc>
      </w:tr>
      <w:tr>
        <w:tc>
          <w:tcPr>
            <w:tcW w:type="dxa" w:w="4703"/>
            <w:shd w:val="clear" w:color="auto" w:fill="FFFFFF"/>
          </w:tcPr>
          <w:p>
            <w:r>
              <w:rPr>
                <w:sz w:val="18"/>
              </w:rPr>
              <w:t>Business Domain Orientation</w:t>
            </w:r>
          </w:p>
        </w:tc>
        <w:tc>
          <w:tcPr>
            <w:tcW w:type="dxa" w:w="4703"/>
            <w:shd w:val="clear" w:color="auto" w:fill="FFFFFF"/>
          </w:tcPr>
          <w:p>
            <w:r>
              <w:rPr>
                <w:sz w:val="18"/>
              </w:rPr>
              <w:t>BusinessDomainRef classifies every ingestion job by business function. Every data movement activity is traceable to its owning domain — supporting data product thinking and domain-driven governance.</w:t>
            </w:r>
          </w:p>
        </w:tc>
      </w:tr>
      <w:tr>
        <w:tc>
          <w:tcPr>
            <w:tcW w:type="dxa" w:w="4703"/>
            <w:shd w:val="clear" w:color="auto" w:fill="EBF0F8"/>
          </w:tcPr>
          <w:p>
            <w:r>
              <w:rPr>
                <w:sz w:val="18"/>
              </w:rPr>
              <w:t>Governed Connectivity</w:t>
            </w:r>
          </w:p>
        </w:tc>
        <w:tc>
          <w:tcPr>
            <w:tcW w:type="dxa" w:w="4703"/>
            <w:shd w:val="clear" w:color="auto" w:fill="EBF0F8"/>
          </w:tcPr>
          <w:p>
            <w:r>
              <w:rPr>
                <w:sz w:val="18"/>
              </w:rPr>
              <w:t>SystemAuth and LinkedServiceRef enforce a structured, centralised approach to connection management. All authentication types and connection templates are catalogued and reused — no unregistered connections.</w:t>
            </w:r>
          </w:p>
        </w:tc>
      </w:tr>
      <w:tr>
        <w:tc>
          <w:tcPr>
            <w:tcW w:type="dxa" w:w="4703"/>
            <w:shd w:val="clear" w:color="auto" w:fill="FFFFFF"/>
          </w:tcPr>
          <w:p>
            <w:r>
              <w:rPr>
                <w:sz w:val="18"/>
              </w:rPr>
              <w:t>Reusable Data Services</w:t>
            </w:r>
          </w:p>
        </w:tc>
        <w:tc>
          <w:tcPr>
            <w:tcW w:type="dxa" w:w="4703"/>
            <w:shd w:val="clear" w:color="auto" w:fill="FFFFFF"/>
          </w:tcPr>
          <w:p>
            <w:r>
              <w:rPr>
                <w:sz w:val="18"/>
              </w:rPr>
              <w:t>The generic pipeline layer acts as a reusable data service. The same pipeline infrastructure serves all projects, domains, and customers without modification; variation is expressed purely in metadata records.</w:t>
            </w:r>
          </w:p>
        </w:tc>
      </w:tr>
    </w:tbl>
    <w:p/>
    <w:p>
      <w:pPr>
        <w:pStyle w:val="Heading1"/>
      </w:pPr>
      <w:r>
        <w:rPr>
          <w:color w:val="0B68B0"/>
        </w:rPr>
        <w:t>13 — Benefits</w:t>
      </w:r>
    </w:p>
    <w:p>
      <w:pPr>
        <w:pStyle w:val="Heading2"/>
      </w:pPr>
      <w:r>
        <w:t>Operational</w:t>
      </w:r>
    </w:p>
    <w:p>
      <w:pPr>
        <w:pStyle w:val="ListBullet"/>
        <w:spacing w:after="60"/>
      </w:pPr>
      <w:r>
        <w:rPr>
          <w:sz w:val="20"/>
        </w:rPr>
        <w:t>New data source onboarded with a single metadata row — no pipeline build or deployment required</w:t>
      </w:r>
    </w:p>
    <w:p>
      <w:pPr>
        <w:pStyle w:val="ListBullet"/>
        <w:spacing w:after="60"/>
      </w:pPr>
      <w:r>
        <w:rPr>
          <w:sz w:val="20"/>
        </w:rPr>
        <w:t>Centralised on/off control for any ingestion job without touching ADF pipelines or triggers</w:t>
      </w:r>
    </w:p>
    <w:p>
      <w:pPr>
        <w:pStyle w:val="ListBullet"/>
        <w:spacing w:after="60"/>
      </w:pPr>
      <w:r>
        <w:rPr>
          <w:sz w:val="20"/>
        </w:rPr>
        <w:t>Connection and path changes applied in metadata — no pipeline redeployment cycle</w:t>
      </w:r>
    </w:p>
    <w:p>
      <w:pPr>
        <w:pStyle w:val="ListBullet"/>
        <w:spacing w:after="60"/>
      </w:pPr>
      <w:r>
        <w:rPr>
          <w:sz w:val="20"/>
        </w:rPr>
        <w:t>Full visibility of all active ingestion jobs by querying a single control table</w:t>
      </w:r>
    </w:p>
    <w:p>
      <w:pPr>
        <w:pStyle w:val="ListBullet"/>
        <w:spacing w:after="60"/>
      </w:pPr>
      <w:r>
        <w:rPr>
          <w:sz w:val="20"/>
        </w:rPr>
        <w:t>Consistent pipeline behaviour across all sources — one proven pattern, not hundreds of variations</w:t>
      </w:r>
    </w:p>
    <w:p>
      <w:pPr>
        <w:pStyle w:val="ListBullet"/>
        <w:spacing w:after="60"/>
      </w:pPr>
      <w:r>
        <w:rPr>
          <w:sz w:val="20"/>
        </w:rPr>
        <w:t>Factory-level parameters (server, database) managed in one place via ADF Global Parameters</w:t>
      </w:r>
    </w:p>
    <w:p>
      <w:pPr>
        <w:pStyle w:val="Heading2"/>
      </w:pPr>
      <w:r>
        <w:t>Engineering</w:t>
      </w:r>
    </w:p>
    <w:p>
      <w:pPr>
        <w:pStyle w:val="ListBullet"/>
        <w:spacing w:after="60"/>
      </w:pPr>
      <w:r>
        <w:rPr>
          <w:sz w:val="20"/>
        </w:rPr>
        <w:t>Dramatically reduced pipeline maintenance surface — one generic pipeline replaces one-per-source</w:t>
      </w:r>
    </w:p>
    <w:p>
      <w:pPr>
        <w:pStyle w:val="ListBullet"/>
        <w:spacing w:after="60"/>
      </w:pPr>
      <w:r>
        <w:rPr>
          <w:sz w:val="20"/>
        </w:rPr>
        <w:t>Environment portability — the same pipelines run across dev, test, and production with different metadata records</w:t>
      </w:r>
    </w:p>
    <w:p>
      <w:pPr>
        <w:pStyle w:val="ListBullet"/>
        <w:spacing w:after="60"/>
      </w:pPr>
      <w:r>
        <w:rPr>
          <w:sz w:val="20"/>
        </w:rPr>
        <w:t>Full Refresh and Incremental patterns supported from a single framework with no pipeline duplication</w:t>
      </w:r>
    </w:p>
    <w:p>
      <w:pPr>
        <w:pStyle w:val="ListBullet"/>
        <w:spacing w:after="60"/>
      </w:pPr>
      <w:r>
        <w:rPr>
          <w:sz w:val="20"/>
        </w:rPr>
        <w:t>Compressed source files (GZIP, ZIP, TarGzip) and binary pass-through handled via dedicated datasets</w:t>
      </w:r>
    </w:p>
    <w:p>
      <w:pPr>
        <w:pStyle w:val="ListBullet"/>
        <w:spacing w:after="60"/>
      </w:pPr>
      <w:r>
        <w:rPr>
          <w:sz w:val="20"/>
        </w:rPr>
        <w:t>Enforced naming conventions enable automated tooling, monitoring dashboards, and documentation generation</w:t>
      </w:r>
    </w:p>
    <w:p>
      <w:pPr>
        <w:pStyle w:val="ListBullet"/>
        <w:spacing w:after="60"/>
      </w:pPr>
      <w:r>
        <w:rPr>
          <w:sz w:val="20"/>
        </w:rPr>
        <w:t>Idempotent DDL supports safe schema deployment and controlled schema evolution across environments</w:t>
      </w:r>
    </w:p>
    <w:p>
      <w:pPr>
        <w:pStyle w:val="Heading2"/>
      </w:pPr>
      <w:r>
        <w:t>Resilience &amp; Governance</w:t>
      </w:r>
    </w:p>
    <w:p>
      <w:pPr>
        <w:pStyle w:val="ListBullet"/>
        <w:spacing w:after="60"/>
      </w:pPr>
      <w:r>
        <w:rPr>
          <w:sz w:val="20"/>
        </w:rPr>
        <w:t>Null watermark guard (WM001) prevents unfiltered full-table reads on misconfigured incremental jobs</w:t>
      </w:r>
    </w:p>
    <w:p>
      <w:pPr>
        <w:pStyle w:val="ListBullet"/>
        <w:spacing w:after="60"/>
      </w:pPr>
      <w:r>
        <w:rPr>
          <w:sz w:val="20"/>
        </w:rPr>
        <w:t>Zero-rows guard ensures watermark is only advanced when data was actually transferred</w:t>
      </w:r>
    </w:p>
    <w:p>
      <w:pPr>
        <w:pStyle w:val="ListBullet"/>
        <w:spacing w:after="60"/>
      </w:pPr>
      <w:r>
        <w:rPr>
          <w:sz w:val="20"/>
        </w:rPr>
        <w:t>Copy failure dependency ensures watermark is never advanced on a failed run — retry picks up from the same boundary</w:t>
      </w:r>
    </w:p>
    <w:p>
      <w:pPr>
        <w:pStyle w:val="ListBullet"/>
        <w:spacing w:after="60"/>
      </w:pPr>
      <w:r>
        <w:rPr>
          <w:sz w:val="20"/>
        </w:rPr>
        <w:t>Audit trail on every ingestion job — who configured what, and when</w:t>
      </w:r>
    </w:p>
    <w:p>
      <w:pPr>
        <w:pStyle w:val="ListBullet"/>
        <w:spacing w:after="60"/>
      </w:pPr>
      <w:r>
        <w:rPr>
          <w:sz w:val="20"/>
        </w:rPr>
        <w:t>Business domain classification on every job — supports data lineage and ownership tracking</w:t>
      </w:r>
    </w:p>
    <w:p>
      <w:pPr>
        <w:pStyle w:val="ListBullet"/>
        <w:spacing w:after="60"/>
      </w:pPr>
      <w:r>
        <w:rPr>
          <w:sz w:val="20"/>
        </w:rPr>
        <w:t>Centralised watermark state — incremental load boundaries are visible and auditable across all jobs</w:t>
      </w:r>
    </w:p>
    <w:p/>
    <w:p>
      <w:pPr>
        <w:pStyle w:val="Heading1"/>
      </w:pPr>
      <w:r>
        <w:rPr>
          <w:color w:val="0B68B0"/>
        </w:rPr>
        <w:t>Appendix — Schema Quick Reference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B2238"/>
          </w:tcPr>
          <w:p>
            <w:r>
              <w:rPr>
                <w:b/>
                <w:color w:val="FFFFFF"/>
                <w:sz w:val="18"/>
              </w:rPr>
              <w:t>Object</w:t>
            </w:r>
          </w:p>
        </w:tc>
        <w:tc>
          <w:tcPr>
            <w:tcW w:type="dxa" w:w="2351"/>
            <w:shd w:val="clear" w:color="auto" w:fill="1B2238"/>
          </w:tcPr>
          <w:p>
            <w:r>
              <w:rPr>
                <w:b/>
                <w:color w:val="FFFFFF"/>
                <w:sz w:val="18"/>
              </w:rPr>
              <w:t>Type</w:t>
            </w:r>
          </w:p>
        </w:tc>
        <w:tc>
          <w:tcPr>
            <w:tcW w:type="dxa" w:w="2351"/>
            <w:shd w:val="clear" w:color="auto" w:fill="1B2238"/>
          </w:tcPr>
          <w:p>
            <w:r>
              <w:rPr>
                <w:b/>
                <w:color w:val="FFFFFF"/>
                <w:sz w:val="18"/>
              </w:rPr>
              <w:t>Purpose</w:t>
            </w:r>
          </w:p>
        </w:tc>
        <w:tc>
          <w:tcPr>
            <w:tcW w:type="dxa" w:w="2351"/>
            <w:shd w:val="clear" w:color="auto" w:fill="1B2238"/>
          </w:tcPr>
          <w:p>
            <w:r>
              <w:rPr>
                <w:b/>
                <w:color w:val="FFFFFF"/>
                <w:sz w:val="18"/>
              </w:rPr>
              <w:t>ADF Role</w:t>
            </w:r>
          </w:p>
        </w:tc>
      </w:tr>
      <w:tr>
        <w:tc>
          <w:tcPr>
            <w:tcW w:type="dxa" w:w="2351"/>
            <w:shd w:val="clear" w:color="auto" w:fill="FFFFFF"/>
          </w:tcPr>
          <w:p>
            <w:r>
              <w:rPr>
                <w:sz w:val="18"/>
              </w:rPr>
              <w:t>EDP_Metadata.MetadataRef</w:t>
            </w:r>
          </w:p>
        </w:tc>
        <w:tc>
          <w:tcPr>
            <w:tcW w:type="dxa" w:w="2351"/>
            <w:shd w:val="clear" w:color="auto" w:fill="FFFFFF"/>
          </w:tcPr>
          <w:p>
            <w:r>
              <w:rPr>
                <w:sz w:val="18"/>
              </w:rPr>
              <w:t>Table</w:t>
            </w:r>
          </w:p>
        </w:tc>
        <w:tc>
          <w:tcPr>
            <w:tcW w:type="dxa" w:w="2351"/>
            <w:shd w:val="clear" w:color="auto" w:fill="FFFFFF"/>
          </w:tcPr>
          <w:p>
            <w:r>
              <w:rPr>
                <w:sz w:val="18"/>
              </w:rPr>
              <w:t>Core control table — one row per ingestion job</w:t>
            </w:r>
          </w:p>
        </w:tc>
        <w:tc>
          <w:tcPr>
            <w:tcW w:type="dxa" w:w="2351"/>
            <w:shd w:val="clear" w:color="auto" w:fill="FFFFFF"/>
          </w:tcPr>
          <w:p>
            <w:r>
              <w:rPr>
                <w:sz w:val="18"/>
              </w:rPr>
              <w:t>Primary config store; queried via MasterRef</w:t>
            </w:r>
          </w:p>
        </w:tc>
      </w:tr>
      <w:tr>
        <w:tc>
          <w:tcPr>
            <w:tcW w:type="dxa" w:w="2351"/>
            <w:shd w:val="clear" w:color="auto" w:fill="EBF0F8"/>
          </w:tcPr>
          <w:p>
            <w:r>
              <w:rPr>
                <w:sz w:val="18"/>
              </w:rPr>
              <w:t>EDP_Metadata.MasterRef</w:t>
            </w:r>
          </w:p>
        </w:tc>
        <w:tc>
          <w:tcPr>
            <w:tcW w:type="dxa" w:w="2351"/>
            <w:shd w:val="clear" w:color="auto" w:fill="EBF0F8"/>
          </w:tcPr>
          <w:p>
            <w:r>
              <w:rPr>
                <w:sz w:val="18"/>
              </w:rPr>
              <w:t>View</w:t>
            </w:r>
          </w:p>
        </w:tc>
        <w:tc>
          <w:tcPr>
            <w:tcW w:type="dxa" w:w="2351"/>
            <w:shd w:val="clear" w:color="auto" w:fill="EBF0F8"/>
          </w:tcPr>
          <w:p>
            <w:r>
              <w:rPr>
                <w:sz w:val="18"/>
              </w:rPr>
              <w:t>Denormalized runtime view; derives Pipeline_Name and SwitchCaseRef</w:t>
            </w:r>
          </w:p>
        </w:tc>
        <w:tc>
          <w:tcPr>
            <w:tcW w:type="dxa" w:w="2351"/>
            <w:shd w:val="clear" w:color="auto" w:fill="EBF0F8"/>
          </w:tcPr>
          <w:p>
            <w:r>
              <w:rPr>
                <w:sz w:val="18"/>
              </w:rPr>
              <w:t>Target of the Lookup activity</w:t>
            </w:r>
          </w:p>
        </w:tc>
      </w:tr>
      <w:tr>
        <w:tc>
          <w:tcPr>
            <w:tcW w:type="dxa" w:w="2351"/>
            <w:shd w:val="clear" w:color="auto" w:fill="FFFFFF"/>
          </w:tcPr>
          <w:p>
            <w:r>
              <w:rPr>
                <w:sz w:val="18"/>
              </w:rPr>
              <w:t>EDP_Metadata.Watermark</w:t>
            </w:r>
          </w:p>
        </w:tc>
        <w:tc>
          <w:tcPr>
            <w:tcW w:type="dxa" w:w="2351"/>
            <w:shd w:val="clear" w:color="auto" w:fill="FFFFFF"/>
          </w:tcPr>
          <w:p>
            <w:r>
              <w:rPr>
                <w:sz w:val="18"/>
              </w:rPr>
              <w:t>Table</w:t>
            </w:r>
          </w:p>
        </w:tc>
        <w:tc>
          <w:tcPr>
            <w:tcW w:type="dxa" w:w="2351"/>
            <w:shd w:val="clear" w:color="auto" w:fill="FFFFFF"/>
          </w:tcPr>
          <w:p>
            <w:r>
              <w:rPr>
                <w:sz w:val="18"/>
              </w:rPr>
              <w:t>High-water mark per incremental job; updated after each successful run</w:t>
            </w:r>
          </w:p>
        </w:tc>
        <w:tc>
          <w:tcPr>
            <w:tcW w:type="dxa" w:w="2351"/>
            <w:shd w:val="clear" w:color="auto" w:fill="FFFFFF"/>
          </w:tcPr>
          <w:p>
            <w:r>
              <w:rPr>
                <w:sz w:val="18"/>
              </w:rPr>
              <w:t>Read by Lookup via MasterRef; written by Update_Watermark Script activity</w:t>
            </w:r>
          </w:p>
        </w:tc>
      </w:tr>
      <w:tr>
        <w:tc>
          <w:tcPr>
            <w:tcW w:type="dxa" w:w="2351"/>
            <w:shd w:val="clear" w:color="auto" w:fill="EBF0F8"/>
          </w:tcPr>
          <w:p>
            <w:r>
              <w:rPr>
                <w:sz w:val="18"/>
              </w:rPr>
              <w:t>EDP_Metadata.DatasetRef</w:t>
            </w:r>
          </w:p>
        </w:tc>
        <w:tc>
          <w:tcPr>
            <w:tcW w:type="dxa" w:w="2351"/>
            <w:shd w:val="clear" w:color="auto" w:fill="EBF0F8"/>
          </w:tcPr>
          <w:p>
            <w:r>
              <w:rPr>
                <w:sz w:val="18"/>
              </w:rPr>
              <w:t>Table</w:t>
            </w:r>
          </w:p>
        </w:tc>
        <w:tc>
          <w:tcPr>
            <w:tcW w:type="dxa" w:w="2351"/>
            <w:shd w:val="clear" w:color="auto" w:fill="EBF0F8"/>
          </w:tcPr>
          <w:p>
            <w:r>
              <w:rPr>
                <w:sz w:val="18"/>
              </w:rPr>
              <w:t>Unique Source + FileFormat combinations, including compressed variants</w:t>
            </w:r>
          </w:p>
        </w:tc>
        <w:tc>
          <w:tcPr>
            <w:tcW w:type="dxa" w:w="2351"/>
            <w:shd w:val="clear" w:color="auto" w:fill="EBF0F8"/>
          </w:tcPr>
          <w:p>
            <w:r>
              <w:rPr>
                <w:sz w:val="18"/>
              </w:rPr>
              <w:t>Resolved via MasterRef</w:t>
            </w:r>
          </w:p>
        </w:tc>
      </w:tr>
      <w:tr>
        <w:tc>
          <w:tcPr>
            <w:tcW w:type="dxa" w:w="2351"/>
            <w:shd w:val="clear" w:color="auto" w:fill="FFFFFF"/>
          </w:tcPr>
          <w:p>
            <w:r>
              <w:rPr>
                <w:sz w:val="18"/>
              </w:rPr>
              <w:t>EDP_Metadata.LinkedServiceRef</w:t>
            </w:r>
          </w:p>
        </w:tc>
        <w:tc>
          <w:tcPr>
            <w:tcW w:type="dxa" w:w="2351"/>
            <w:shd w:val="clear" w:color="auto" w:fill="FFFFFF"/>
          </w:tcPr>
          <w:p>
            <w:r>
              <w:rPr>
                <w:sz w:val="18"/>
              </w:rPr>
              <w:t>Table</w:t>
            </w:r>
          </w:p>
        </w:tc>
        <w:tc>
          <w:tcPr>
            <w:tcW w:type="dxa" w:w="2351"/>
            <w:shd w:val="clear" w:color="auto" w:fill="FFFFFF"/>
          </w:tcPr>
          <w:p>
            <w:r>
              <w:rPr>
                <w:sz w:val="18"/>
              </w:rPr>
              <w:t>ADF linked service catalog with JSON connection templates</w:t>
            </w:r>
          </w:p>
        </w:tc>
        <w:tc>
          <w:tcPr>
            <w:tcW w:type="dxa" w:w="2351"/>
            <w:shd w:val="clear" w:color="auto" w:fill="FFFFFF"/>
          </w:tcPr>
          <w:p>
            <w:r>
              <w:rPr>
                <w:sz w:val="18"/>
              </w:rPr>
              <w:t>Resolved via MasterRef</w:t>
            </w:r>
          </w:p>
        </w:tc>
      </w:tr>
      <w:tr>
        <w:tc>
          <w:tcPr>
            <w:tcW w:type="dxa" w:w="2351"/>
            <w:shd w:val="clear" w:color="auto" w:fill="EBF0F8"/>
          </w:tcPr>
          <w:p>
            <w:r>
              <w:rPr>
                <w:sz w:val="18"/>
              </w:rPr>
              <w:t>EDP_Metadata.SourceRef</w:t>
            </w:r>
          </w:p>
        </w:tc>
        <w:tc>
          <w:tcPr>
            <w:tcW w:type="dxa" w:w="2351"/>
            <w:shd w:val="clear" w:color="auto" w:fill="EBF0F8"/>
          </w:tcPr>
          <w:p>
            <w:r>
              <w:rPr>
                <w:sz w:val="18"/>
              </w:rPr>
              <w:t>Table</w:t>
            </w:r>
          </w:p>
        </w:tc>
        <w:tc>
          <w:tcPr>
            <w:tcW w:type="dxa" w:w="2351"/>
            <w:shd w:val="clear" w:color="auto" w:fill="EBF0F8"/>
          </w:tcPr>
          <w:p>
            <w:r>
              <w:rPr>
                <w:sz w:val="18"/>
              </w:rPr>
              <w:t>Supported data source types and short codes</w:t>
            </w:r>
          </w:p>
        </w:tc>
        <w:tc>
          <w:tcPr>
            <w:tcW w:type="dxa" w:w="2351"/>
            <w:shd w:val="clear" w:color="auto" w:fill="EBF0F8"/>
          </w:tcPr>
          <w:p>
            <w:r>
              <w:rPr>
                <w:sz w:val="18"/>
              </w:rPr>
              <w:t>Resolved via MasterRef</w:t>
            </w:r>
          </w:p>
        </w:tc>
      </w:tr>
      <w:tr>
        <w:tc>
          <w:tcPr>
            <w:tcW w:type="dxa" w:w="2351"/>
            <w:shd w:val="clear" w:color="auto" w:fill="FFFFFF"/>
          </w:tcPr>
          <w:p>
            <w:r>
              <w:rPr>
                <w:sz w:val="18"/>
              </w:rPr>
              <w:t>EDP_Metadata.FileFormat</w:t>
            </w:r>
          </w:p>
        </w:tc>
        <w:tc>
          <w:tcPr>
            <w:tcW w:type="dxa" w:w="2351"/>
            <w:shd w:val="clear" w:color="auto" w:fill="FFFFFF"/>
          </w:tcPr>
          <w:p>
            <w:r>
              <w:rPr>
                <w:sz w:val="18"/>
              </w:rPr>
              <w:t>Table</w:t>
            </w:r>
          </w:p>
        </w:tc>
        <w:tc>
          <w:tcPr>
            <w:tcW w:type="dxa" w:w="2351"/>
            <w:shd w:val="clear" w:color="auto" w:fill="FFFFFF"/>
          </w:tcPr>
          <w:p>
            <w:r>
              <w:rPr>
                <w:sz w:val="18"/>
              </w:rPr>
              <w:t>Supported file formats including compression variants</w:t>
            </w:r>
          </w:p>
        </w:tc>
        <w:tc>
          <w:tcPr>
            <w:tcW w:type="dxa" w:w="2351"/>
            <w:shd w:val="clear" w:color="auto" w:fill="FFFFFF"/>
          </w:tcPr>
          <w:p>
            <w:r>
              <w:rPr>
                <w:sz w:val="18"/>
              </w:rPr>
              <w:t>Resolved via MasterRef</w:t>
            </w:r>
          </w:p>
        </w:tc>
      </w:tr>
      <w:tr>
        <w:tc>
          <w:tcPr>
            <w:tcW w:type="dxa" w:w="2351"/>
            <w:shd w:val="clear" w:color="auto" w:fill="EBF0F8"/>
          </w:tcPr>
          <w:p>
            <w:r>
              <w:rPr>
                <w:sz w:val="18"/>
              </w:rPr>
              <w:t>EDP_Metadata.SystemAuth</w:t>
            </w:r>
          </w:p>
        </w:tc>
        <w:tc>
          <w:tcPr>
            <w:tcW w:type="dxa" w:w="2351"/>
            <w:shd w:val="clear" w:color="auto" w:fill="EBF0F8"/>
          </w:tcPr>
          <w:p>
            <w:r>
              <w:rPr>
                <w:sz w:val="18"/>
              </w:rPr>
              <w:t>Table</w:t>
            </w:r>
          </w:p>
        </w:tc>
        <w:tc>
          <w:tcPr>
            <w:tcW w:type="dxa" w:w="2351"/>
            <w:shd w:val="clear" w:color="auto" w:fill="EBF0F8"/>
          </w:tcPr>
          <w:p>
            <w:r>
              <w:rPr>
                <w:sz w:val="18"/>
              </w:rPr>
              <w:t>Supported authentication types and applicable connectors</w:t>
            </w:r>
          </w:p>
        </w:tc>
        <w:tc>
          <w:tcPr>
            <w:tcW w:type="dxa" w:w="2351"/>
            <w:shd w:val="clear" w:color="auto" w:fill="EBF0F8"/>
          </w:tcPr>
          <w:p>
            <w:r>
              <w:rPr>
                <w:sz w:val="18"/>
              </w:rPr>
              <w:t>Resolved via MasterRef</w:t>
            </w:r>
          </w:p>
        </w:tc>
      </w:tr>
      <w:tr>
        <w:tc>
          <w:tcPr>
            <w:tcW w:type="dxa" w:w="2351"/>
            <w:shd w:val="clear" w:color="auto" w:fill="FFFFFF"/>
          </w:tcPr>
          <w:p>
            <w:r>
              <w:rPr>
                <w:sz w:val="18"/>
              </w:rPr>
              <w:t>EDP_Metadata.BusinessDomainRef</w:t>
            </w:r>
          </w:p>
        </w:tc>
        <w:tc>
          <w:tcPr>
            <w:tcW w:type="dxa" w:w="2351"/>
            <w:shd w:val="clear" w:color="auto" w:fill="FFFFFF"/>
          </w:tcPr>
          <w:p>
            <w:r>
              <w:rPr>
                <w:sz w:val="18"/>
              </w:rPr>
              <w:t>Table</w:t>
            </w:r>
          </w:p>
        </w:tc>
        <w:tc>
          <w:tcPr>
            <w:tcW w:type="dxa" w:w="2351"/>
            <w:shd w:val="clear" w:color="auto" w:fill="FFFFFF"/>
          </w:tcPr>
          <w:p>
            <w:r>
              <w:rPr>
                <w:sz w:val="18"/>
              </w:rPr>
              <w:t>Business domain classification</w:t>
            </w:r>
          </w:p>
        </w:tc>
        <w:tc>
          <w:tcPr>
            <w:tcW w:type="dxa" w:w="2351"/>
            <w:shd w:val="clear" w:color="auto" w:fill="FFFFFF"/>
          </w:tcPr>
          <w:p>
            <w:r>
              <w:rPr>
                <w:sz w:val="18"/>
              </w:rPr>
              <w:t>Resolved via MasterRef</w:t>
            </w:r>
          </w:p>
        </w:tc>
      </w:tr>
      <w:tr>
        <w:tc>
          <w:tcPr>
            <w:tcW w:type="dxa" w:w="2351"/>
            <w:shd w:val="clear" w:color="auto" w:fill="EBF0F8"/>
          </w:tcPr>
          <w:p>
            <w:r>
              <w:rPr>
                <w:sz w:val="18"/>
              </w:rPr>
              <w:t>EDP_Metadata.colDelimitterRef</w:t>
            </w:r>
          </w:p>
        </w:tc>
        <w:tc>
          <w:tcPr>
            <w:tcW w:type="dxa" w:w="2351"/>
            <w:shd w:val="clear" w:color="auto" w:fill="EBF0F8"/>
          </w:tcPr>
          <w:p>
            <w:r>
              <w:rPr>
                <w:sz w:val="18"/>
              </w:rPr>
              <w:t>Table</w:t>
            </w:r>
          </w:p>
        </w:tc>
        <w:tc>
          <w:tcPr>
            <w:tcW w:type="dxa" w:w="2351"/>
            <w:shd w:val="clear" w:color="auto" w:fill="EBF0F8"/>
          </w:tcPr>
          <w:p>
            <w:r>
              <w:rPr>
                <w:sz w:val="18"/>
              </w:rPr>
              <w:t>Column delimiter reference values</w:t>
            </w:r>
          </w:p>
        </w:tc>
        <w:tc>
          <w:tcPr>
            <w:tcW w:type="dxa" w:w="2351"/>
            <w:shd w:val="clear" w:color="auto" w:fill="EBF0F8"/>
          </w:tcPr>
          <w:p>
            <w:r>
              <w:rPr>
                <w:sz w:val="18"/>
              </w:rPr>
              <w:t>Resolved via MasterRef</w:t>
            </w:r>
          </w:p>
        </w:tc>
      </w:tr>
    </w:tbl>
    <w:p/>
    <w:p>
      <w:pPr>
        <w:spacing w:before="400"/>
        <w:jc w:val="center"/>
      </w:pPr>
      <w:r>
        <w:rPr>
          <w:color w:val="6A788F"/>
          <w:sz w:val="16"/>
        </w:rPr>
        <w:t>Enterprise Data Platform  |  Metadata-Driven Ingestion Framework  |  Version 2.0  |  August 2026  |  Internal Use Only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