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pPr>
      <w:r>
        <w:rPr>
          <w:rFonts w:ascii="Segoe UI" w:hAnsi="Segoe UI"/>
          <w:b/>
          <w:color w:val="0B68B0"/>
          <w:sz w:val="16"/>
        </w:rPr>
        <w:t>ARCHITECTURE FORUM — HIGH LEVEL DESIGN</w:t>
      </w:r>
    </w:p>
    <w:p>
      <w:pPr>
        <w:spacing w:before="80" w:after="200"/>
      </w:pPr>
      <w:r>
        <w:rPr>
          <w:rFonts w:ascii="Segoe UI Semibold" w:hAnsi="Segoe UI Semibold"/>
          <w:b/>
          <w:color w:val="1B2238"/>
          <w:sz w:val="52"/>
        </w:rPr>
        <w:t>Metadata-Driven Ingestion Framework</w:t>
      </w:r>
    </w:p>
    <w:p>
      <w:pPr>
        <w:spacing w:after="80"/>
      </w:pPr>
      <w:r>
        <w:rPr>
          <w:rFonts w:ascii="Segoe UI" w:hAnsi="Segoe UI"/>
          <w:color w:val="485670"/>
          <w:sz w:val="22"/>
        </w:rPr>
        <w:t>A reusable, configuration-controlled data integration layer on Azure that eliminates per-source pipeline development and centralises all ingestion behaviour in a single metadata control plane.</w:t>
      </w:r>
    </w:p>
    <w:p>
      <w:pPr>
        <w:spacing w:after="40"/>
      </w:pPr>
      <w:r>
        <w:rPr>
          <w:rFonts w:ascii="Segoe UI" w:hAnsi="Segoe UI"/>
          <w:b/>
          <w:color w:val="6A788F"/>
          <w:sz w:val="18"/>
        </w:rPr>
        <w:t xml:space="preserve">Version: </w:t>
      </w:r>
      <w:r>
        <w:rPr>
          <w:rFonts w:ascii="Segoe UI" w:hAnsi="Segoe UI"/>
          <w:color w:val="485670"/>
          <w:sz w:val="18"/>
        </w:rPr>
        <w:t xml:space="preserve">2.0    </w:t>
      </w:r>
      <w:r>
        <w:rPr>
          <w:rFonts w:ascii="Segoe UI" w:hAnsi="Segoe UI"/>
          <w:b/>
          <w:color w:val="6A788F"/>
          <w:sz w:val="18"/>
        </w:rPr>
        <w:t xml:space="preserve">Date: </w:t>
      </w:r>
      <w:r>
        <w:rPr>
          <w:rFonts w:ascii="Segoe UI" w:hAnsi="Segoe UI"/>
          <w:color w:val="485670"/>
          <w:sz w:val="18"/>
        </w:rPr>
        <w:t xml:space="preserve">August 2026    </w:t>
      </w:r>
      <w:r>
        <w:rPr>
          <w:rFonts w:ascii="Segoe UI" w:hAnsi="Segoe UI"/>
          <w:b/>
          <w:color w:val="6A788F"/>
          <w:sz w:val="18"/>
        </w:rPr>
        <w:t xml:space="preserve">Classification: </w:t>
      </w:r>
      <w:r>
        <w:rPr>
          <w:rFonts w:ascii="Segoe UI" w:hAnsi="Segoe UI"/>
          <w:color w:val="485670"/>
          <w:sz w:val="18"/>
        </w:rPr>
        <w:t xml:space="preserve">Internal    </w:t>
      </w:r>
    </w:p>
    <w:p/>
    <w:p>
      <w:pPr>
        <w:spacing w:before="360" w:after="40"/>
      </w:pPr>
      <w:r>
        <w:rPr>
          <w:rFonts w:ascii="Segoe UI" w:hAnsi="Segoe UI"/>
          <w:b/>
          <w:color w:val="0B68B0"/>
          <w:sz w:val="15"/>
        </w:rPr>
        <w:t>01 — OVERVIEW</w:t>
      </w:r>
    </w:p>
    <w:p>
      <w:pPr>
        <w:spacing w:before="80" w:after="200"/>
        <w:pBdr>
          <w:bottom w:val="single" w:sz="8" w:space="4" w:color="E3EFF9"/>
        </w:pBdr>
      </w:pPr>
      <w:r>
        <w:rPr>
          <w:rFonts w:ascii="Segoe UI Semibold" w:hAnsi="Segoe UI Semibold"/>
          <w:b/>
          <w:color w:val="1B2238"/>
          <w:sz w:val="44"/>
        </w:rPr>
        <w:t>Executive Summary</w:t>
      </w:r>
    </w:p>
    <w:p>
      <w:pPr>
        <w:spacing w:after="100"/>
      </w:pPr>
      <w:r>
        <w:rPr>
          <w:rFonts w:ascii="Segoe UI" w:hAnsi="Segoe UI"/>
          <w:color w:val="485670"/>
          <w:sz w:val="21"/>
        </w:rPr>
        <w:t>The Metadata-Driven Ingestion Framework provides a single, reusable, and centrally governed data integration layer on Azure. Instead of building a dedicated pipeline for each data source, a suite of generic Azure Data Factory pipelines covers all ingestion scenarios — with runtime behaviour driven entirely by metadata stored in a central Azure SQL schema (EDP_Metadata).</w:t>
      </w:r>
    </w:p>
    <w:p>
      <w:pPr>
        <w:spacing w:after="100"/>
      </w:pPr>
      <w:r>
        <w:rPr>
          <w:rFonts w:ascii="Segoe UI" w:hAnsi="Segoe UI"/>
          <w:color w:val="485670"/>
          <w:sz w:val="21"/>
        </w:rPr>
        <w:t>Onboarding a new data source requires no pipeline development or deployment. A metadata record is inserted into the control table and the existing generic pipeline automatically handles the ingestion — resolving connections, dataset types, file formats, column delimiters, load strategy, and target paths at runtime from the metadata.</w:t>
      </w:r>
    </w:p>
    <w:p>
      <w:pPr>
        <w:spacing w:after="100"/>
      </w:pPr>
      <w:r>
        <w:rPr>
          <w:rFonts w:ascii="Segoe UI" w:hAnsi="Segoe UI"/>
          <w:color w:val="485670"/>
          <w:sz w:val="21"/>
        </w:rPr>
        <w:t>As of v2.0, four pipelines covering Azure SQL and ADLS Gen2 source/target combinations are fully deployed and operational, with support for standard formats (CSV, Parquet, JSON), compressed sources (GZIP, ZIP, TarGzip), and binary file pass-through.</w:t>
      </w:r>
    </w:p>
    <w:p>
      <w:pPr>
        <w:spacing w:after="100"/>
      </w:pPr>
      <w:r>
        <w:rPr>
          <w:rFonts w:ascii="Segoe UI" w:hAnsi="Segoe UI"/>
          <w:color w:val="485670"/>
          <w:sz w:val="21"/>
        </w:rPr>
        <w:t>Configuration-level parameters shared across all pipelines — such as the metadata server and database coordinates — are managed as ADF Global Parameters, removing them entirely from individual pipeline definitions and providing a single configuration point at the factory level.</w:t>
      </w:r>
    </w:p>
    <w:p>
      <w:pPr>
        <w:spacing w:before="360" w:after="40"/>
      </w:pPr>
      <w:r>
        <w:rPr>
          <w:rFonts w:ascii="Segoe UI" w:hAnsi="Segoe UI"/>
          <w:b/>
          <w:color w:val="0B68B0"/>
          <w:sz w:val="15"/>
        </w:rPr>
        <w:t>02 — CONTEXT</w:t>
      </w:r>
    </w:p>
    <w:p>
      <w:pPr>
        <w:spacing w:before="80" w:after="200"/>
        <w:pBdr>
          <w:bottom w:val="single" w:sz="8" w:space="4" w:color="E3EFF9"/>
        </w:pBdr>
      </w:pPr>
      <w:r>
        <w:rPr>
          <w:rFonts w:ascii="Segoe UI Semibold" w:hAnsi="Segoe UI Semibold"/>
          <w:b/>
          <w:color w:val="1B2238"/>
          <w:sz w:val="44"/>
        </w:rPr>
        <w:t>Problem Statement</w:t>
      </w:r>
    </w:p>
    <w:p>
      <w:pPr>
        <w:spacing w:after="100"/>
      </w:pPr>
      <w:r>
        <w:rPr>
          <w:rFonts w:ascii="Segoe UI" w:hAnsi="Segoe UI"/>
          <w:color w:val="485670"/>
          <w:sz w:val="21"/>
        </w:rPr>
        <w:t>Without a metadata-driven approach, data engineering teams typically encounter the following challenges as the number of ingestion requirements grows:</w:t>
      </w:r>
    </w:p>
    <w:p>
      <w:pPr>
        <w:pStyle w:val="ListBullet"/>
        <w:spacing w:after="60"/>
        <w:ind w:left="360"/>
      </w:pPr>
      <w:r>
        <w:rPr>
          <w:rFonts w:ascii="Segoe UI" w:hAnsi="Segoe UI"/>
          <w:color w:val="485670"/>
          <w:sz w:val="21"/>
        </w:rPr>
        <w:t>Pipeline proliferation — A dedicated pipeline per source/target combination results in hundreds of near-identical, independently maintained artifacts with no shared behaviour.</w:t>
      </w:r>
    </w:p>
    <w:p>
      <w:pPr>
        <w:pStyle w:val="ListBullet"/>
        <w:spacing w:after="60"/>
        <w:ind w:left="360"/>
      </w:pPr>
      <w:r>
        <w:rPr>
          <w:rFonts w:ascii="Segoe UI" w:hAnsi="Segoe UI"/>
          <w:color w:val="485670"/>
          <w:sz w:val="21"/>
        </w:rPr>
        <w:t>Hardcoded configuration — Connection strings, file paths, table names, and schema references are embedded in pipeline definitions, requiring a full redeployment cycle for any configuration change.</w:t>
      </w:r>
    </w:p>
    <w:p>
      <w:pPr>
        <w:pStyle w:val="ListBullet"/>
        <w:spacing w:after="60"/>
        <w:ind w:left="360"/>
      </w:pPr>
      <w:r>
        <w:rPr>
          <w:rFonts w:ascii="Segoe UI" w:hAnsi="Segoe UI"/>
          <w:color w:val="485670"/>
          <w:sz w:val="21"/>
        </w:rPr>
        <w:t>No central control — Activating or deactivating a specific ingestion job requires modifying triggers or pipeline definitions rather than updating a flag in a control table.</w:t>
      </w:r>
    </w:p>
    <w:p>
      <w:pPr>
        <w:pStyle w:val="ListBullet"/>
        <w:spacing w:after="60"/>
        <w:ind w:left="360"/>
      </w:pPr>
      <w:r>
        <w:rPr>
          <w:rFonts w:ascii="Segoe UI" w:hAnsi="Segoe UI"/>
          <w:color w:val="485670"/>
          <w:sz w:val="21"/>
        </w:rPr>
        <w:t>Slow source onboarding — Each new data source demands a full pipeline build, review, test, and deployment cycle — typically days to weeks per source at scale.</w:t>
      </w:r>
    </w:p>
    <w:p>
      <w:pPr>
        <w:pStyle w:val="ListBullet"/>
        <w:spacing w:after="60"/>
        <w:ind w:left="360"/>
      </w:pPr>
      <w:r>
        <w:rPr>
          <w:rFonts w:ascii="Segoe UI" w:hAnsi="Segoe UI"/>
          <w:color w:val="485670"/>
          <w:sz w:val="21"/>
        </w:rPr>
        <w:t>Inconsistency — Without enforced naming and structural conventions, pipeline implementations diverge across teams and projects, making operational management difficult.</w:t>
      </w:r>
    </w:p>
    <w:p>
      <w:pPr>
        <w:pStyle w:val="ListBullet"/>
        <w:spacing w:after="60"/>
        <w:ind w:left="360"/>
      </w:pPr>
      <w:r>
        <w:rPr>
          <w:rFonts w:ascii="Segoe UI" w:hAnsi="Segoe UI"/>
          <w:color w:val="485670"/>
          <w:sz w:val="21"/>
        </w:rPr>
        <w:t>Ad hoc watermark management — Incremental load tracking (high-water marks) is typically implemented per-pipeline, with no centralised state or visibility.</w:t>
      </w:r>
    </w:p>
    <w:p>
      <w:pPr>
        <w:pStyle w:val="ListBullet"/>
        <w:spacing w:after="60"/>
        <w:ind w:left="360"/>
      </w:pPr>
      <w:r>
        <w:rPr>
          <w:rFonts w:ascii="Segoe UI" w:hAnsi="Segoe UI"/>
          <w:color w:val="485670"/>
          <w:sz w:val="21"/>
        </w:rPr>
        <w:t>Poor auditability — There is no structured record of who configured a given ingestion job, when, or what was changed.</w:t>
      </w:r>
    </w:p>
    <w:p>
      <w:pPr>
        <w:spacing w:before="360" w:after="40"/>
      </w:pPr>
      <w:r>
        <w:rPr>
          <w:rFonts w:ascii="Segoe UI" w:hAnsi="Segoe UI"/>
          <w:b/>
          <w:color w:val="0B68B0"/>
          <w:sz w:val="15"/>
        </w:rPr>
        <w:t>03 — SOLUTION</w:t>
      </w:r>
    </w:p>
    <w:p>
      <w:pPr>
        <w:spacing w:before="80" w:after="200"/>
        <w:pBdr>
          <w:bottom w:val="single" w:sz="8" w:space="4" w:color="E3EFF9"/>
        </w:pBdr>
      </w:pPr>
      <w:r>
        <w:rPr>
          <w:rFonts w:ascii="Segoe UI Semibold" w:hAnsi="Segoe UI Semibold"/>
          <w:b/>
          <w:color w:val="1B2238"/>
          <w:sz w:val="44"/>
        </w:rPr>
        <w:t>Solution Architecture</w:t>
      </w:r>
    </w:p>
    <w:p>
      <w:pPr>
        <w:spacing w:after="100"/>
      </w:pPr>
      <w:r>
        <w:rPr>
          <w:rFonts w:ascii="Segoe UI" w:hAnsi="Segoe UI"/>
          <w:color w:val="485670"/>
          <w:sz w:val="21"/>
        </w:rPr>
        <w:t>The framework is structured across three distinct layers, each with a single responsibility. The metadata control plane drives all behaviour; ADF executes it; source and target systems are treated as interchangeable connectors.</w:t>
      </w:r>
    </w:p>
    <w:tbl>
      <w:tblPr>
        <w:tblStyle w:val="TableGrid"/>
        <w:tblW w:type="auto" w:w="0"/>
        <w:jc w:val="left"/>
        <w:tblLook w:firstColumn="1" w:firstRow="1" w:lastColumn="0" w:lastRow="0" w:noHBand="0" w:noVBand="1" w:val="04A0"/>
      </w:tblPr>
      <w:tblGrid>
        <w:gridCol w:w="4392"/>
        <w:gridCol w:w="4392"/>
      </w:tblGrid>
      <w:tr>
        <w:tc>
          <w:tcPr>
            <w:tcW w:type="dxa" w:w="2592"/>
            <w:shd w:val="clear" w:color="auto" w:fill="EBF0F8"/>
          </w:tcPr>
          <w:p>
            <w:pPr>
              <w:spacing w:before="60" w:after="60"/>
            </w:pPr>
            <w:r>
              <w:rPr>
                <w:rFonts w:ascii="Segoe UI" w:hAnsi="Segoe UI"/>
                <w:b/>
                <w:color w:val="6A788F"/>
                <w:sz w:val="15"/>
              </w:rPr>
              <w:t>LAYER</w:t>
            </w:r>
          </w:p>
        </w:tc>
        <w:tc>
          <w:tcPr>
            <w:tcW w:type="dxa" w:w="7200"/>
            <w:shd w:val="clear" w:color="auto" w:fill="EBF0F8"/>
          </w:tcPr>
          <w:p>
            <w:pPr>
              <w:spacing w:before="60" w:after="60"/>
            </w:pPr>
            <w:r>
              <w:rPr>
                <w:rFonts w:ascii="Segoe UI" w:hAnsi="Segoe UI"/>
                <w:b/>
                <w:color w:val="6A788F"/>
                <w:sz w:val="15"/>
              </w:rPr>
              <w:t>RESPONSIBILITY</w:t>
            </w:r>
          </w:p>
        </w:tc>
      </w:tr>
      <w:tr>
        <w:tc>
          <w:tcPr>
            <w:tcW w:type="dxa" w:w="2592"/>
          </w:tcPr>
          <w:p>
            <w:pPr>
              <w:spacing w:before="60" w:after="60"/>
            </w:pPr>
            <w:r>
              <w:rPr>
                <w:rFonts w:ascii="Segoe UI" w:hAnsi="Segoe UI"/>
                <w:color w:val="485670"/>
                <w:sz w:val="19"/>
              </w:rPr>
              <w:t>Source Systems</w:t>
            </w:r>
          </w:p>
        </w:tc>
        <w:tc>
          <w:tcPr>
            <w:tcW w:type="dxa" w:w="7200"/>
          </w:tcPr>
          <w:p>
            <w:pPr>
              <w:spacing w:before="60" w:after="60"/>
            </w:pPr>
            <w:r>
              <w:rPr>
                <w:rFonts w:ascii="Segoe UI" w:hAnsi="Segoe UI"/>
                <w:color w:val="485670"/>
                <w:sz w:val="19"/>
              </w:rPr>
              <w:t>ADLS Gen2, Azure SQL, SFTP, Oracle, MySQL, and others — treated as interchangeable connectors</w:t>
            </w:r>
          </w:p>
        </w:tc>
      </w:tr>
      <w:tr>
        <w:tc>
          <w:tcPr>
            <w:tcW w:type="dxa" w:w="2592"/>
          </w:tcPr>
          <w:p>
            <w:pPr>
              <w:spacing w:before="60" w:after="60"/>
            </w:pPr>
            <w:r>
              <w:rPr>
                <w:rFonts w:ascii="Segoe UI" w:hAnsi="Segoe UI"/>
                <w:color w:val="485670"/>
                <w:sz w:val="19"/>
              </w:rPr>
              <w:t>ADF Orchestration</w:t>
            </w:r>
          </w:p>
        </w:tc>
        <w:tc>
          <w:tcPr>
            <w:tcW w:type="dxa" w:w="7200"/>
          </w:tcPr>
          <w:p>
            <w:pPr>
              <w:spacing w:before="60" w:after="60"/>
            </w:pPr>
            <w:r>
              <w:rPr>
                <w:rFonts w:ascii="Segoe UI" w:hAnsi="Segoe UI"/>
                <w:color w:val="485670"/>
                <w:sz w:val="19"/>
              </w:rPr>
              <w:t>Lookup (reads MasterRef via Global Parameters) → ForEach (parallel, batch 5) → Switch (on SwitchCaseRef) → Copy (all dynamic)</w:t>
            </w:r>
          </w:p>
        </w:tc>
      </w:tr>
      <w:tr>
        <w:tc>
          <w:tcPr>
            <w:tcW w:type="dxa" w:w="2592"/>
          </w:tcPr>
          <w:p>
            <w:pPr>
              <w:spacing w:before="60" w:after="60"/>
            </w:pPr>
            <w:r>
              <w:rPr>
                <w:rFonts w:ascii="Segoe UI" w:hAnsi="Segoe UI"/>
                <w:color w:val="485670"/>
                <w:sz w:val="19"/>
              </w:rPr>
              <w:t>Target Systems</w:t>
            </w:r>
          </w:p>
        </w:tc>
        <w:tc>
          <w:tcPr>
            <w:tcW w:type="dxa" w:w="7200"/>
          </w:tcPr>
          <w:p>
            <w:pPr>
              <w:spacing w:before="60" w:after="60"/>
            </w:pPr>
            <w:r>
              <w:rPr>
                <w:rFonts w:ascii="Segoe UI" w:hAnsi="Segoe UI"/>
                <w:color w:val="485670"/>
                <w:sz w:val="19"/>
              </w:rPr>
              <w:t>ADLS Gen2, Azure SQL, and others</w:t>
            </w:r>
          </w:p>
        </w:tc>
      </w:tr>
      <w:tr>
        <w:tc>
          <w:tcPr>
            <w:tcW w:type="dxa" w:w="2592"/>
          </w:tcPr>
          <w:p>
            <w:pPr>
              <w:spacing w:before="60" w:after="60"/>
            </w:pPr>
            <w:r>
              <w:rPr>
                <w:rFonts w:ascii="Segoe UI" w:hAnsi="Segoe UI"/>
                <w:color w:val="485670"/>
                <w:sz w:val="19"/>
              </w:rPr>
              <w:t>Metadata Control Plane</w:t>
            </w:r>
          </w:p>
        </w:tc>
        <w:tc>
          <w:tcPr>
            <w:tcW w:type="dxa" w:w="7200"/>
          </w:tcPr>
          <w:p>
            <w:pPr>
              <w:spacing w:before="60" w:after="60"/>
            </w:pPr>
            <w:r>
              <w:rPr>
                <w:rFonts w:ascii="Segoe UI" w:hAnsi="Segoe UI"/>
                <w:color w:val="485670"/>
                <w:sz w:val="19"/>
              </w:rPr>
              <w:t>EDP_Metadata schema in Azure SQL — MetadataRef, MasterRef view, Watermark, DatasetRef, LinkedServiceRef, and lookup tables. All ADF behaviour driven from here.</w:t>
            </w:r>
          </w:p>
        </w:tc>
      </w:tr>
    </w:tbl>
    <w:p/>
    <w:p>
      <w:pPr>
        <w:spacing w:before="360" w:after="40"/>
      </w:pPr>
      <w:r>
        <w:rPr>
          <w:rFonts w:ascii="Segoe UI" w:hAnsi="Segoe UI"/>
          <w:b/>
          <w:color w:val="0B68B0"/>
          <w:sz w:val="15"/>
        </w:rPr>
        <w:t>04 — METADATA LAYER</w:t>
      </w:r>
    </w:p>
    <w:p>
      <w:pPr>
        <w:spacing w:before="80" w:after="200"/>
        <w:pBdr>
          <w:bottom w:val="single" w:sz="8" w:space="4" w:color="E3EFF9"/>
        </w:pBdr>
      </w:pPr>
      <w:r>
        <w:rPr>
          <w:rFonts w:ascii="Segoe UI Semibold" w:hAnsi="Segoe UI Semibold"/>
          <w:b/>
          <w:color w:val="1B2238"/>
          <w:sz w:val="44"/>
        </w:rPr>
        <w:t>Metadata Schema</w:t>
      </w:r>
    </w:p>
    <w:p>
      <w:pPr>
        <w:spacing w:after="100"/>
      </w:pPr>
      <w:r>
        <w:rPr>
          <w:rFonts w:ascii="Segoe UI" w:hAnsi="Segoe UI"/>
          <w:color w:val="485670"/>
          <w:sz w:val="21"/>
        </w:rPr>
        <w:t>All framework configuration lives in the EDP_Metadata schema. It consists of a core control table (MetadataRef), a set of normalised lookup tables, and a denormalized runtime view (MasterRef) that ADF queries at pipeline execution time.</w:t>
      </w:r>
    </w:p>
    <w:p>
      <w:pPr>
        <w:spacing w:before="360" w:after="120"/>
        <w:pBdr>
          <w:bottom w:val="single" w:sz="4" w:space="3" w:color="E3EFF9"/>
        </w:pBdr>
      </w:pPr>
      <w:r>
        <w:rPr>
          <w:rFonts w:ascii="Segoe UI Semibold" w:hAnsi="Segoe UI Semibold"/>
          <w:b/>
          <w:color w:val="1B2238"/>
          <w:sz w:val="26"/>
        </w:rPr>
        <w:t>Core Control Table — MetadataRef</w:t>
      </w:r>
    </w:p>
    <w:p>
      <w:pPr>
        <w:spacing w:after="100"/>
      </w:pPr>
      <w:r>
        <w:rPr>
          <w:rFonts w:ascii="Segoe UI" w:hAnsi="Segoe UI"/>
          <w:color w:val="485670"/>
          <w:sz w:val="21"/>
        </w:rPr>
        <w:t>Each row in MetadataRef represents one ingestion job.</w:t>
      </w:r>
    </w:p>
    <w:tbl>
      <w:tblPr>
        <w:tblStyle w:val="TableGrid"/>
        <w:tblW w:type="auto" w:w="0"/>
        <w:jc w:val="left"/>
        <w:tblLook w:firstColumn="1" w:firstRow="1" w:lastColumn="0" w:lastRow="0" w:noHBand="0" w:noVBand="1" w:val="04A0"/>
      </w:tblPr>
      <w:tblGrid>
        <w:gridCol w:w="2928"/>
        <w:gridCol w:w="2928"/>
        <w:gridCol w:w="2928"/>
      </w:tblGrid>
      <w:tr>
        <w:tc>
          <w:tcPr>
            <w:tcW w:type="dxa" w:w="3024"/>
            <w:shd w:val="clear" w:color="auto" w:fill="EBF0F8"/>
          </w:tcPr>
          <w:p>
            <w:pPr>
              <w:spacing w:before="60" w:after="60"/>
            </w:pPr>
            <w:r>
              <w:rPr>
                <w:rFonts w:ascii="Segoe UI" w:hAnsi="Segoe UI"/>
                <w:b/>
                <w:color w:val="6A788F"/>
                <w:sz w:val="15"/>
              </w:rPr>
              <w:t>COLUMN</w:t>
            </w:r>
          </w:p>
        </w:tc>
        <w:tc>
          <w:tcPr>
            <w:tcW w:type="dxa" w:w="2304"/>
            <w:shd w:val="clear" w:color="auto" w:fill="EBF0F8"/>
          </w:tcPr>
          <w:p>
            <w:pPr>
              <w:spacing w:before="60" w:after="60"/>
            </w:pPr>
            <w:r>
              <w:rPr>
                <w:rFonts w:ascii="Segoe UI" w:hAnsi="Segoe UI"/>
                <w:b/>
                <w:color w:val="6A788F"/>
                <w:sz w:val="15"/>
              </w:rPr>
              <w:t>TYPE</w:t>
            </w:r>
          </w:p>
        </w:tc>
        <w:tc>
          <w:tcPr>
            <w:tcW w:type="dxa" w:w="4464"/>
            <w:shd w:val="clear" w:color="auto" w:fill="EBF0F8"/>
          </w:tcPr>
          <w:p>
            <w:pPr>
              <w:spacing w:before="60" w:after="60"/>
            </w:pPr>
            <w:r>
              <w:rPr>
                <w:rFonts w:ascii="Segoe UI" w:hAnsi="Segoe UI"/>
                <w:b/>
                <w:color w:val="6A788F"/>
                <w:sz w:val="15"/>
              </w:rPr>
              <w:t>PURPOSE</w:t>
            </w:r>
          </w:p>
        </w:tc>
      </w:tr>
      <w:tr>
        <w:tc>
          <w:tcPr>
            <w:tcW w:type="dxa" w:w="3024"/>
          </w:tcPr>
          <w:p>
            <w:pPr>
              <w:spacing w:before="60" w:after="60"/>
            </w:pPr>
            <w:r>
              <w:rPr>
                <w:rFonts w:ascii="Segoe UI" w:hAnsi="Segoe UI"/>
                <w:color w:val="485670"/>
                <w:sz w:val="19"/>
              </w:rPr>
            </w:r>
            <w:r>
              <w:rPr>
                <w:rFonts w:ascii="Cascadia Code" w:hAnsi="Cascadia Code"/>
                <w:color w:val="0B68B0"/>
                <w:sz w:val="17"/>
              </w:rPr>
              <w:t>Metadata_ID</w:t>
            </w:r>
            <w:r>
              <w:rPr>
                <w:rFonts w:ascii="Segoe UI" w:hAnsi="Segoe UI"/>
                <w:color w:val="485670"/>
                <w:sz w:val="19"/>
              </w:rPr>
            </w:r>
          </w:p>
        </w:tc>
        <w:tc>
          <w:tcPr>
            <w:tcW w:type="dxa" w:w="2304"/>
          </w:tcPr>
          <w:p>
            <w:pPr>
              <w:spacing w:before="60" w:after="60"/>
            </w:pPr>
            <w:r>
              <w:rPr>
                <w:rFonts w:ascii="Segoe UI" w:hAnsi="Segoe UI"/>
                <w:color w:val="485670"/>
                <w:sz w:val="19"/>
              </w:rPr>
              <w:t>INT IDENTITY</w:t>
            </w:r>
          </w:p>
        </w:tc>
        <w:tc>
          <w:tcPr>
            <w:tcW w:type="dxa" w:w="4464"/>
          </w:tcPr>
          <w:p>
            <w:pPr>
              <w:spacing w:before="60" w:after="60"/>
            </w:pPr>
            <w:r>
              <w:rPr>
                <w:rFonts w:ascii="Segoe UI" w:hAnsi="Segoe UI"/>
                <w:color w:val="485670"/>
                <w:sz w:val="19"/>
              </w:rPr>
              <w:t>Primary key</w:t>
            </w:r>
          </w:p>
        </w:tc>
      </w:tr>
      <w:tr>
        <w:tc>
          <w:tcPr>
            <w:tcW w:type="dxa" w:w="3024"/>
          </w:tcPr>
          <w:p>
            <w:pPr>
              <w:spacing w:before="60" w:after="60"/>
            </w:pPr>
            <w:r>
              <w:rPr>
                <w:rFonts w:ascii="Segoe UI" w:hAnsi="Segoe UI"/>
                <w:color w:val="485670"/>
                <w:sz w:val="19"/>
              </w:rPr>
            </w:r>
            <w:r>
              <w:rPr>
                <w:rFonts w:ascii="Cascadia Code" w:hAnsi="Cascadia Code"/>
                <w:color w:val="0B68B0"/>
                <w:sz w:val="17"/>
              </w:rPr>
              <w:t>Metadata_Job</w:t>
            </w:r>
            <w:r>
              <w:rPr>
                <w:rFonts w:ascii="Segoe UI" w:hAnsi="Segoe UI"/>
                <w:color w:val="485670"/>
                <w:sz w:val="19"/>
              </w:rPr>
            </w:r>
          </w:p>
        </w:tc>
        <w:tc>
          <w:tcPr>
            <w:tcW w:type="dxa" w:w="2304"/>
          </w:tcPr>
          <w:p>
            <w:pPr>
              <w:spacing w:before="60" w:after="60"/>
            </w:pPr>
            <w:r>
              <w:rPr>
                <w:rFonts w:ascii="Segoe UI" w:hAnsi="Segoe UI"/>
                <w:color w:val="485670"/>
                <w:sz w:val="19"/>
              </w:rPr>
              <w:t>NVARCHAR(200) UNIQUE</w:t>
            </w:r>
          </w:p>
        </w:tc>
        <w:tc>
          <w:tcPr>
            <w:tcW w:type="dxa" w:w="4464"/>
          </w:tcPr>
          <w:p>
            <w:pPr>
              <w:spacing w:before="60" w:after="60"/>
            </w:pPr>
            <w:r>
              <w:rPr>
                <w:rFonts w:ascii="Segoe UI" w:hAnsi="Segoe UI"/>
                <w:color w:val="485670"/>
                <w:sz w:val="19"/>
              </w:rPr>
              <w:t>Unique job name — passed as a trigger parameter at runtime</w:t>
            </w:r>
          </w:p>
        </w:tc>
      </w:tr>
      <w:tr>
        <w:tc>
          <w:tcPr>
            <w:tcW w:type="dxa" w:w="3024"/>
          </w:tcPr>
          <w:p>
            <w:pPr>
              <w:spacing w:before="60" w:after="60"/>
            </w:pPr>
            <w:r>
              <w:rPr>
                <w:rFonts w:ascii="Segoe UI" w:hAnsi="Segoe UI"/>
                <w:color w:val="485670"/>
                <w:sz w:val="19"/>
              </w:rPr>
            </w:r>
            <w:r>
              <w:rPr>
                <w:rFonts w:ascii="Cascadia Code" w:hAnsi="Cascadia Code"/>
                <w:color w:val="0B68B0"/>
                <w:sz w:val="17"/>
              </w:rPr>
              <w:t>Business_Domain_ID</w:t>
            </w:r>
            <w:r>
              <w:rPr>
                <w:rFonts w:ascii="Segoe UI" w:hAnsi="Segoe UI"/>
                <w:color w:val="485670"/>
                <w:sz w:val="19"/>
              </w:rPr>
            </w:r>
          </w:p>
        </w:tc>
        <w:tc>
          <w:tcPr>
            <w:tcW w:type="dxa" w:w="2304"/>
          </w:tcPr>
          <w:p>
            <w:pPr>
              <w:spacing w:before="60" w:after="60"/>
            </w:pPr>
            <w:r>
              <w:rPr>
                <w:rFonts w:ascii="Segoe UI" w:hAnsi="Segoe UI"/>
                <w:color w:val="485670"/>
                <w:sz w:val="19"/>
              </w:rPr>
              <w:t>INT (FK)</w:t>
            </w:r>
          </w:p>
        </w:tc>
        <w:tc>
          <w:tcPr>
            <w:tcW w:type="dxa" w:w="4464"/>
          </w:tcPr>
          <w:p>
            <w:pPr>
              <w:spacing w:before="60" w:after="60"/>
            </w:pPr>
            <w:r>
              <w:rPr>
                <w:rFonts w:ascii="Segoe UI" w:hAnsi="Segoe UI"/>
                <w:color w:val="485670"/>
                <w:sz w:val="19"/>
              </w:rPr>
              <w:t>Classifies the job by business function; references BusinessDomainRef</w:t>
            </w:r>
          </w:p>
        </w:tc>
      </w:tr>
      <w:tr>
        <w:tc>
          <w:tcPr>
            <w:tcW w:type="dxa" w:w="3024"/>
          </w:tcPr>
          <w:p>
            <w:pPr>
              <w:spacing w:before="60" w:after="60"/>
            </w:pPr>
            <w:r>
              <w:rPr>
                <w:rFonts w:ascii="Segoe UI" w:hAnsi="Segoe UI"/>
                <w:color w:val="485670"/>
                <w:sz w:val="19"/>
              </w:rPr>
            </w:r>
            <w:r>
              <w:rPr>
                <w:rFonts w:ascii="Cascadia Code" w:hAnsi="Cascadia Code"/>
                <w:color w:val="0B68B0"/>
                <w:sz w:val="17"/>
              </w:rPr>
              <w:t>ADF_Name</w:t>
            </w:r>
            <w:r>
              <w:rPr>
                <w:rFonts w:ascii="Segoe UI" w:hAnsi="Segoe UI"/>
                <w:color w:val="485670"/>
                <w:sz w:val="19"/>
              </w:rPr>
            </w:r>
          </w:p>
        </w:tc>
        <w:tc>
          <w:tcPr>
            <w:tcW w:type="dxa" w:w="2304"/>
          </w:tcPr>
          <w:p>
            <w:pPr>
              <w:spacing w:before="60" w:after="60"/>
            </w:pPr>
            <w:r>
              <w:rPr>
                <w:rFonts w:ascii="Segoe UI" w:hAnsi="Segoe UI"/>
                <w:color w:val="485670"/>
                <w:sz w:val="19"/>
              </w:rPr>
              <w:t>NVARCHAR(100)</w:t>
            </w:r>
          </w:p>
        </w:tc>
        <w:tc>
          <w:tcPr>
            <w:tcW w:type="dxa" w:w="4464"/>
          </w:tcPr>
          <w:p>
            <w:pPr>
              <w:spacing w:before="60" w:after="60"/>
            </w:pPr>
            <w:r>
              <w:rPr>
                <w:rFonts w:ascii="Segoe UI" w:hAnsi="Segoe UI"/>
                <w:color w:val="485670"/>
                <w:sz w:val="19"/>
              </w:rPr>
              <w:t>Name of the ADF instance this job belongs to</w:t>
            </w:r>
          </w:p>
        </w:tc>
      </w:tr>
      <w:tr>
        <w:tc>
          <w:tcPr>
            <w:tcW w:type="dxa" w:w="3024"/>
          </w:tcPr>
          <w:p>
            <w:pPr>
              <w:spacing w:before="60" w:after="60"/>
            </w:pPr>
            <w:r>
              <w:rPr>
                <w:rFonts w:ascii="Segoe UI" w:hAnsi="Segoe UI"/>
                <w:color w:val="485670"/>
                <w:sz w:val="19"/>
              </w:rPr>
            </w:r>
            <w:r>
              <w:rPr>
                <w:rFonts w:ascii="Cascadia Code" w:hAnsi="Cascadia Code"/>
                <w:color w:val="0B68B0"/>
                <w:sz w:val="17"/>
              </w:rPr>
              <w:t>Trigger_Name</w:t>
            </w:r>
            <w:r>
              <w:rPr>
                <w:rFonts w:ascii="Segoe UI" w:hAnsi="Segoe UI"/>
                <w:color w:val="485670"/>
                <w:sz w:val="19"/>
              </w:rPr>
            </w:r>
          </w:p>
        </w:tc>
        <w:tc>
          <w:tcPr>
            <w:tcW w:type="dxa" w:w="2304"/>
          </w:tcPr>
          <w:p>
            <w:pPr>
              <w:spacing w:before="60" w:after="60"/>
            </w:pPr>
            <w:r>
              <w:rPr>
                <w:rFonts w:ascii="Segoe UI" w:hAnsi="Segoe UI"/>
                <w:color w:val="485670"/>
                <w:sz w:val="19"/>
              </w:rPr>
              <w:t>NVARCHAR(200)</w:t>
            </w:r>
          </w:p>
        </w:tc>
        <w:tc>
          <w:tcPr>
            <w:tcW w:type="dxa" w:w="4464"/>
          </w:tcPr>
          <w:p>
            <w:pPr>
              <w:spacing w:before="60" w:after="60"/>
            </w:pPr>
            <w:r>
              <w:rPr>
                <w:rFonts w:ascii="Segoe UI" w:hAnsi="Segoe UI"/>
                <w:color w:val="485670"/>
                <w:sz w:val="19"/>
              </w:rPr>
              <w:t>ADF trigger name associated with this job</w:t>
            </w:r>
          </w:p>
        </w:tc>
      </w:tr>
      <w:tr>
        <w:tc>
          <w:tcPr>
            <w:tcW w:type="dxa" w:w="3024"/>
          </w:tcPr>
          <w:p>
            <w:pPr>
              <w:spacing w:before="60" w:after="60"/>
            </w:pPr>
            <w:r>
              <w:rPr>
                <w:rFonts w:ascii="Segoe UI" w:hAnsi="Segoe UI"/>
                <w:color w:val="485670"/>
                <w:sz w:val="19"/>
              </w:rPr>
            </w:r>
            <w:r>
              <w:rPr>
                <w:rFonts w:ascii="Cascadia Code" w:hAnsi="Cascadia Code"/>
                <w:color w:val="0B68B0"/>
                <w:sz w:val="17"/>
              </w:rPr>
              <w:t>InputDataset_ID</w:t>
            </w:r>
            <w:r>
              <w:rPr>
                <w:rFonts w:ascii="Segoe UI" w:hAnsi="Segoe UI"/>
                <w:color w:val="485670"/>
                <w:sz w:val="19"/>
              </w:rPr>
            </w:r>
          </w:p>
        </w:tc>
        <w:tc>
          <w:tcPr>
            <w:tcW w:type="dxa" w:w="2304"/>
          </w:tcPr>
          <w:p>
            <w:pPr>
              <w:spacing w:before="60" w:after="60"/>
            </w:pPr>
            <w:r>
              <w:rPr>
                <w:rFonts w:ascii="Segoe UI" w:hAnsi="Segoe UI"/>
                <w:color w:val="485670"/>
                <w:sz w:val="19"/>
              </w:rPr>
              <w:t>INT (FK)</w:t>
            </w:r>
          </w:p>
        </w:tc>
        <w:tc>
          <w:tcPr>
            <w:tcW w:type="dxa" w:w="4464"/>
          </w:tcPr>
          <w:p>
            <w:pPr>
              <w:spacing w:before="60" w:after="60"/>
            </w:pPr>
            <w:r>
              <w:rPr>
                <w:rFonts w:ascii="Segoe UI" w:hAnsi="Segoe UI"/>
                <w:color w:val="485670"/>
                <w:sz w:val="19"/>
              </w:rPr>
              <w:t>Source dataset type; references DatasetRef</w:t>
            </w:r>
          </w:p>
        </w:tc>
      </w:tr>
      <w:tr>
        <w:tc>
          <w:tcPr>
            <w:tcW w:type="dxa" w:w="3024"/>
          </w:tcPr>
          <w:p>
            <w:pPr>
              <w:spacing w:before="60" w:after="60"/>
            </w:pPr>
            <w:r>
              <w:rPr>
                <w:rFonts w:ascii="Segoe UI" w:hAnsi="Segoe UI"/>
                <w:color w:val="485670"/>
                <w:sz w:val="19"/>
              </w:rPr>
            </w:r>
            <w:r>
              <w:rPr>
                <w:rFonts w:ascii="Cascadia Code" w:hAnsi="Cascadia Code"/>
                <w:color w:val="0B68B0"/>
                <w:sz w:val="17"/>
              </w:rPr>
              <w:t>OutputDataset_ID</w:t>
            </w:r>
            <w:r>
              <w:rPr>
                <w:rFonts w:ascii="Segoe UI" w:hAnsi="Segoe UI"/>
                <w:color w:val="485670"/>
                <w:sz w:val="19"/>
              </w:rPr>
            </w:r>
          </w:p>
        </w:tc>
        <w:tc>
          <w:tcPr>
            <w:tcW w:type="dxa" w:w="2304"/>
          </w:tcPr>
          <w:p>
            <w:pPr>
              <w:spacing w:before="60" w:after="60"/>
            </w:pPr>
            <w:r>
              <w:rPr>
                <w:rFonts w:ascii="Segoe UI" w:hAnsi="Segoe UI"/>
                <w:color w:val="485670"/>
                <w:sz w:val="19"/>
              </w:rPr>
              <w:t>INT (FK)</w:t>
            </w:r>
          </w:p>
        </w:tc>
        <w:tc>
          <w:tcPr>
            <w:tcW w:type="dxa" w:w="4464"/>
          </w:tcPr>
          <w:p>
            <w:pPr>
              <w:spacing w:before="60" w:after="60"/>
            </w:pPr>
            <w:r>
              <w:rPr>
                <w:rFonts w:ascii="Segoe UI" w:hAnsi="Segoe UI"/>
                <w:color w:val="485670"/>
                <w:sz w:val="19"/>
              </w:rPr>
              <w:t>Target dataset type; references DatasetRef</w:t>
            </w:r>
          </w:p>
        </w:tc>
      </w:tr>
      <w:tr>
        <w:tc>
          <w:tcPr>
            <w:tcW w:type="dxa" w:w="3024"/>
          </w:tcPr>
          <w:p>
            <w:pPr>
              <w:spacing w:before="60" w:after="60"/>
            </w:pPr>
            <w:r>
              <w:rPr>
                <w:rFonts w:ascii="Segoe UI" w:hAnsi="Segoe UI"/>
                <w:color w:val="485670"/>
                <w:sz w:val="19"/>
              </w:rPr>
            </w:r>
            <w:r>
              <w:rPr>
                <w:rFonts w:ascii="Cascadia Code" w:hAnsi="Cascadia Code"/>
                <w:color w:val="0B68B0"/>
                <w:sz w:val="17"/>
              </w:rPr>
              <w:t>Input_colDelRefID</w:t>
            </w:r>
            <w:r>
              <w:rPr>
                <w:rFonts w:ascii="Segoe UI" w:hAnsi="Segoe UI"/>
                <w:color w:val="485670"/>
                <w:sz w:val="19"/>
              </w:rPr>
            </w:r>
          </w:p>
        </w:tc>
        <w:tc>
          <w:tcPr>
            <w:tcW w:type="dxa" w:w="2304"/>
          </w:tcPr>
          <w:p>
            <w:pPr>
              <w:spacing w:before="60" w:after="60"/>
            </w:pPr>
            <w:r>
              <w:rPr>
                <w:rFonts w:ascii="Segoe UI" w:hAnsi="Segoe UI"/>
                <w:color w:val="485670"/>
                <w:sz w:val="19"/>
              </w:rPr>
              <w:t>INT (FK)</w:t>
            </w:r>
          </w:p>
        </w:tc>
        <w:tc>
          <w:tcPr>
            <w:tcW w:type="dxa" w:w="4464"/>
          </w:tcPr>
          <w:p>
            <w:pPr>
              <w:spacing w:before="60" w:after="60"/>
            </w:pPr>
            <w:r>
              <w:rPr>
                <w:rFonts w:ascii="Segoe UI" w:hAnsi="Segoe UI"/>
                <w:color w:val="485670"/>
                <w:sz w:val="19"/>
              </w:rPr>
              <w:t>Source column delimiter; references colDelimitterRef</w:t>
            </w:r>
          </w:p>
        </w:tc>
      </w:tr>
      <w:tr>
        <w:tc>
          <w:tcPr>
            <w:tcW w:type="dxa" w:w="3024"/>
          </w:tcPr>
          <w:p>
            <w:pPr>
              <w:spacing w:before="60" w:after="60"/>
            </w:pPr>
            <w:r>
              <w:rPr>
                <w:rFonts w:ascii="Segoe UI" w:hAnsi="Segoe UI"/>
                <w:color w:val="485670"/>
                <w:sz w:val="19"/>
              </w:rPr>
            </w:r>
            <w:r>
              <w:rPr>
                <w:rFonts w:ascii="Cascadia Code" w:hAnsi="Cascadia Code"/>
                <w:color w:val="0B68B0"/>
                <w:sz w:val="17"/>
              </w:rPr>
              <w:t>Output_colDelRefID</w:t>
            </w:r>
            <w:r>
              <w:rPr>
                <w:rFonts w:ascii="Segoe UI" w:hAnsi="Segoe UI"/>
                <w:color w:val="485670"/>
                <w:sz w:val="19"/>
              </w:rPr>
            </w:r>
          </w:p>
        </w:tc>
        <w:tc>
          <w:tcPr>
            <w:tcW w:type="dxa" w:w="2304"/>
          </w:tcPr>
          <w:p>
            <w:pPr>
              <w:spacing w:before="60" w:after="60"/>
            </w:pPr>
            <w:r>
              <w:rPr>
                <w:rFonts w:ascii="Segoe UI" w:hAnsi="Segoe UI"/>
                <w:color w:val="485670"/>
                <w:sz w:val="19"/>
              </w:rPr>
              <w:t>INT (FK)</w:t>
            </w:r>
          </w:p>
        </w:tc>
        <w:tc>
          <w:tcPr>
            <w:tcW w:type="dxa" w:w="4464"/>
          </w:tcPr>
          <w:p>
            <w:pPr>
              <w:spacing w:before="60" w:after="60"/>
            </w:pPr>
            <w:r>
              <w:rPr>
                <w:rFonts w:ascii="Segoe UI" w:hAnsi="Segoe UI"/>
                <w:color w:val="485670"/>
                <w:sz w:val="19"/>
              </w:rPr>
              <w:t>Target column delimiter; references colDelimitterRef</w:t>
            </w:r>
          </w:p>
        </w:tc>
      </w:tr>
      <w:tr>
        <w:tc>
          <w:tcPr>
            <w:tcW w:type="dxa" w:w="3024"/>
          </w:tcPr>
          <w:p>
            <w:pPr>
              <w:spacing w:before="60" w:after="60"/>
            </w:pPr>
            <w:r>
              <w:rPr>
                <w:rFonts w:ascii="Segoe UI" w:hAnsi="Segoe UI"/>
                <w:color w:val="485670"/>
                <w:sz w:val="19"/>
              </w:rPr>
            </w:r>
            <w:r>
              <w:rPr>
                <w:rFonts w:ascii="Cascadia Code" w:hAnsi="Cascadia Code"/>
                <w:color w:val="0B68B0"/>
                <w:sz w:val="17"/>
              </w:rPr>
              <w:t>InputLinkedServiceConnectionID</w:t>
            </w:r>
            <w:r>
              <w:rPr>
                <w:rFonts w:ascii="Segoe UI" w:hAnsi="Segoe UI"/>
                <w:color w:val="485670"/>
                <w:sz w:val="19"/>
              </w:rPr>
            </w:r>
          </w:p>
        </w:tc>
        <w:tc>
          <w:tcPr>
            <w:tcW w:type="dxa" w:w="2304"/>
          </w:tcPr>
          <w:p>
            <w:pPr>
              <w:spacing w:before="60" w:after="60"/>
            </w:pPr>
            <w:r>
              <w:rPr>
                <w:rFonts w:ascii="Segoe UI" w:hAnsi="Segoe UI"/>
                <w:color w:val="485670"/>
                <w:sz w:val="19"/>
              </w:rPr>
              <w:t>INT (FK)</w:t>
            </w:r>
          </w:p>
        </w:tc>
        <w:tc>
          <w:tcPr>
            <w:tcW w:type="dxa" w:w="4464"/>
          </w:tcPr>
          <w:p>
            <w:pPr>
              <w:spacing w:before="60" w:after="60"/>
            </w:pPr>
            <w:r>
              <w:rPr>
                <w:rFonts w:ascii="Segoe UI" w:hAnsi="Segoe UI"/>
                <w:color w:val="485670"/>
                <w:sz w:val="19"/>
              </w:rPr>
              <w:t>Source connection; references LinkedServiceRef</w:t>
            </w:r>
          </w:p>
        </w:tc>
      </w:tr>
      <w:tr>
        <w:tc>
          <w:tcPr>
            <w:tcW w:type="dxa" w:w="3024"/>
          </w:tcPr>
          <w:p>
            <w:pPr>
              <w:spacing w:before="60" w:after="60"/>
            </w:pPr>
            <w:r>
              <w:rPr>
                <w:rFonts w:ascii="Segoe UI" w:hAnsi="Segoe UI"/>
                <w:color w:val="485670"/>
                <w:sz w:val="19"/>
              </w:rPr>
            </w:r>
            <w:r>
              <w:rPr>
                <w:rFonts w:ascii="Cascadia Code" w:hAnsi="Cascadia Code"/>
                <w:color w:val="0B68B0"/>
                <w:sz w:val="17"/>
              </w:rPr>
              <w:t>OutputLinkedServiceConnectionID</w:t>
            </w:r>
            <w:r>
              <w:rPr>
                <w:rFonts w:ascii="Segoe UI" w:hAnsi="Segoe UI"/>
                <w:color w:val="485670"/>
                <w:sz w:val="19"/>
              </w:rPr>
            </w:r>
          </w:p>
        </w:tc>
        <w:tc>
          <w:tcPr>
            <w:tcW w:type="dxa" w:w="2304"/>
          </w:tcPr>
          <w:p>
            <w:pPr>
              <w:spacing w:before="60" w:after="60"/>
            </w:pPr>
            <w:r>
              <w:rPr>
                <w:rFonts w:ascii="Segoe UI" w:hAnsi="Segoe UI"/>
                <w:color w:val="485670"/>
                <w:sz w:val="19"/>
              </w:rPr>
              <w:t>INT (FK)</w:t>
            </w:r>
          </w:p>
        </w:tc>
        <w:tc>
          <w:tcPr>
            <w:tcW w:type="dxa" w:w="4464"/>
          </w:tcPr>
          <w:p>
            <w:pPr>
              <w:spacing w:before="60" w:after="60"/>
            </w:pPr>
            <w:r>
              <w:rPr>
                <w:rFonts w:ascii="Segoe UI" w:hAnsi="Segoe UI"/>
                <w:color w:val="485670"/>
                <w:sz w:val="19"/>
              </w:rPr>
              <w:t>Target connection; references LinkedServiceRef</w:t>
            </w:r>
          </w:p>
        </w:tc>
      </w:tr>
      <w:tr>
        <w:tc>
          <w:tcPr>
            <w:tcW w:type="dxa" w:w="3024"/>
          </w:tcPr>
          <w:p>
            <w:pPr>
              <w:spacing w:before="60" w:after="60"/>
            </w:pPr>
            <w:r>
              <w:rPr>
                <w:rFonts w:ascii="Segoe UI" w:hAnsi="Segoe UI"/>
                <w:color w:val="485670"/>
                <w:sz w:val="19"/>
              </w:rPr>
            </w:r>
            <w:r>
              <w:rPr>
                <w:rFonts w:ascii="Cascadia Code" w:hAnsi="Cascadia Code"/>
                <w:color w:val="0B68B0"/>
                <w:sz w:val="17"/>
              </w:rPr>
              <w:t>MetadataSettingsInput</w:t>
            </w:r>
            <w:r>
              <w:rPr>
                <w:rFonts w:ascii="Segoe UI" w:hAnsi="Segoe UI"/>
                <w:color w:val="485670"/>
                <w:sz w:val="19"/>
              </w:rPr>
            </w:r>
          </w:p>
        </w:tc>
        <w:tc>
          <w:tcPr>
            <w:tcW w:type="dxa" w:w="2304"/>
          </w:tcPr>
          <w:p>
            <w:pPr>
              <w:spacing w:before="60" w:after="60"/>
            </w:pPr>
            <w:r>
              <w:rPr>
                <w:rFonts w:ascii="Segoe UI" w:hAnsi="Segoe UI"/>
                <w:color w:val="485670"/>
                <w:sz w:val="19"/>
              </w:rPr>
              <w:t>NVARCHAR(MAX) JSON</w:t>
            </w:r>
          </w:p>
        </w:tc>
        <w:tc>
          <w:tcPr>
            <w:tcW w:type="dxa" w:w="4464"/>
          </w:tcPr>
          <w:p>
            <w:pPr>
              <w:spacing w:before="60" w:after="60"/>
            </w:pPr>
            <w:r>
              <w:rPr>
                <w:rFonts w:ascii="Segoe UI" w:hAnsi="Segoe UI"/>
                <w:color w:val="485670"/>
                <w:sz w:val="19"/>
              </w:rPr>
              <w:t>Runtime source parameters — container, directory, filename, SQL query, schema, table, server, etc.</w:t>
            </w:r>
          </w:p>
        </w:tc>
      </w:tr>
      <w:tr>
        <w:tc>
          <w:tcPr>
            <w:tcW w:type="dxa" w:w="3024"/>
          </w:tcPr>
          <w:p>
            <w:pPr>
              <w:spacing w:before="60" w:after="60"/>
            </w:pPr>
            <w:r>
              <w:rPr>
                <w:rFonts w:ascii="Segoe UI" w:hAnsi="Segoe UI"/>
                <w:color w:val="485670"/>
                <w:sz w:val="19"/>
              </w:rPr>
            </w:r>
            <w:r>
              <w:rPr>
                <w:rFonts w:ascii="Cascadia Code" w:hAnsi="Cascadia Code"/>
                <w:color w:val="0B68B0"/>
                <w:sz w:val="17"/>
              </w:rPr>
              <w:t>MetadataSettingsOutput</w:t>
            </w:r>
            <w:r>
              <w:rPr>
                <w:rFonts w:ascii="Segoe UI" w:hAnsi="Segoe UI"/>
                <w:color w:val="485670"/>
                <w:sz w:val="19"/>
              </w:rPr>
            </w:r>
          </w:p>
        </w:tc>
        <w:tc>
          <w:tcPr>
            <w:tcW w:type="dxa" w:w="2304"/>
          </w:tcPr>
          <w:p>
            <w:pPr>
              <w:spacing w:before="60" w:after="60"/>
            </w:pPr>
            <w:r>
              <w:rPr>
                <w:rFonts w:ascii="Segoe UI" w:hAnsi="Segoe UI"/>
                <w:color w:val="485670"/>
                <w:sz w:val="19"/>
              </w:rPr>
              <w:t>NVARCHAR(MAX) JSON</w:t>
            </w:r>
          </w:p>
        </w:tc>
        <w:tc>
          <w:tcPr>
            <w:tcW w:type="dxa" w:w="4464"/>
          </w:tcPr>
          <w:p>
            <w:pPr>
              <w:spacing w:before="60" w:after="60"/>
            </w:pPr>
            <w:r>
              <w:rPr>
                <w:rFonts w:ascii="Segoe UI" w:hAnsi="Segoe UI"/>
                <w:color w:val="485670"/>
                <w:sz w:val="19"/>
              </w:rPr>
              <w:t>Runtime target parameters — container, directory, filename, schema, table, etc.</w:t>
            </w:r>
          </w:p>
        </w:tc>
      </w:tr>
      <w:tr>
        <w:tc>
          <w:tcPr>
            <w:tcW w:type="dxa" w:w="3024"/>
          </w:tcPr>
          <w:p>
            <w:pPr>
              <w:spacing w:before="60" w:after="60"/>
            </w:pPr>
            <w:r>
              <w:rPr>
                <w:rFonts w:ascii="Segoe UI" w:hAnsi="Segoe UI"/>
                <w:color w:val="485670"/>
                <w:sz w:val="19"/>
              </w:rPr>
            </w:r>
            <w:r>
              <w:rPr>
                <w:rFonts w:ascii="Cascadia Code" w:hAnsi="Cascadia Code"/>
                <w:color w:val="0B68B0"/>
                <w:sz w:val="17"/>
              </w:rPr>
              <w:t>ActivityType</w:t>
            </w:r>
            <w:r>
              <w:rPr>
                <w:rFonts w:ascii="Segoe UI" w:hAnsi="Segoe UI"/>
                <w:color w:val="485670"/>
                <w:sz w:val="19"/>
              </w:rPr>
            </w:r>
          </w:p>
        </w:tc>
        <w:tc>
          <w:tcPr>
            <w:tcW w:type="dxa" w:w="2304"/>
          </w:tcPr>
          <w:p>
            <w:pPr>
              <w:spacing w:before="60" w:after="60"/>
            </w:pPr>
            <w:r>
              <w:rPr>
                <w:rFonts w:ascii="Segoe UI" w:hAnsi="Segoe UI"/>
                <w:color w:val="485670"/>
                <w:sz w:val="19"/>
              </w:rPr>
              <w:t>NVARCHAR(20)</w:t>
            </w:r>
          </w:p>
        </w:tc>
        <w:tc>
          <w:tcPr>
            <w:tcW w:type="dxa" w:w="4464"/>
          </w:tcPr>
          <w:p>
            <w:pPr>
              <w:spacing w:before="60" w:after="60"/>
            </w:pPr>
            <w:r>
              <w:rPr>
                <w:rFonts w:ascii="Segoe UI" w:hAnsi="Segoe UI"/>
                <w:color w:val="485670"/>
                <w:sz w:val="19"/>
              </w:rPr>
              <w:t>Ingress | Egress</w:t>
            </w:r>
          </w:p>
        </w:tc>
      </w:tr>
      <w:tr>
        <w:tc>
          <w:tcPr>
            <w:tcW w:type="dxa" w:w="3024"/>
          </w:tcPr>
          <w:p>
            <w:pPr>
              <w:spacing w:before="60" w:after="60"/>
            </w:pPr>
            <w:r>
              <w:rPr>
                <w:rFonts w:ascii="Segoe UI" w:hAnsi="Segoe UI"/>
                <w:color w:val="485670"/>
                <w:sz w:val="19"/>
              </w:rPr>
            </w:r>
            <w:r>
              <w:rPr>
                <w:rFonts w:ascii="Cascadia Code" w:hAnsi="Cascadia Code"/>
                <w:color w:val="0B68B0"/>
                <w:sz w:val="17"/>
              </w:rPr>
              <w:t>IsActive</w:t>
            </w:r>
            <w:r>
              <w:rPr>
                <w:rFonts w:ascii="Segoe UI" w:hAnsi="Segoe UI"/>
                <w:color w:val="485670"/>
                <w:sz w:val="19"/>
              </w:rPr>
            </w:r>
          </w:p>
        </w:tc>
        <w:tc>
          <w:tcPr>
            <w:tcW w:type="dxa" w:w="2304"/>
          </w:tcPr>
          <w:p>
            <w:pPr>
              <w:spacing w:before="60" w:after="60"/>
            </w:pPr>
            <w:r>
              <w:rPr>
                <w:rFonts w:ascii="Segoe UI" w:hAnsi="Segoe UI"/>
                <w:color w:val="485670"/>
                <w:sz w:val="19"/>
              </w:rPr>
              <w:t>NVARCHAR(10)</w:t>
            </w:r>
          </w:p>
        </w:tc>
        <w:tc>
          <w:tcPr>
            <w:tcW w:type="dxa" w:w="4464"/>
          </w:tcPr>
          <w:p>
            <w:pPr>
              <w:spacing w:before="60" w:after="60"/>
            </w:pPr>
            <w:r>
              <w:rPr>
                <w:rFonts w:ascii="Segoe UI" w:hAnsi="Segoe UI"/>
                <w:color w:val="485670"/>
                <w:sz w:val="19"/>
              </w:rPr>
              <w:t>Active | Inactive — master on/off switch for any job</w:t>
            </w:r>
          </w:p>
        </w:tc>
      </w:tr>
      <w:tr>
        <w:tc>
          <w:tcPr>
            <w:tcW w:type="dxa" w:w="3024"/>
          </w:tcPr>
          <w:p>
            <w:pPr>
              <w:spacing w:before="60" w:after="60"/>
            </w:pPr>
            <w:r>
              <w:rPr>
                <w:rFonts w:ascii="Segoe UI" w:hAnsi="Segoe UI"/>
                <w:color w:val="485670"/>
                <w:sz w:val="19"/>
              </w:rPr>
            </w:r>
            <w:r>
              <w:rPr>
                <w:rFonts w:ascii="Cascadia Code" w:hAnsi="Cascadia Code"/>
                <w:color w:val="0B68B0"/>
                <w:sz w:val="17"/>
              </w:rPr>
              <w:t>Load_Type</w:t>
            </w:r>
            <w:r>
              <w:rPr>
                <w:rFonts w:ascii="Segoe UI" w:hAnsi="Segoe UI"/>
                <w:color w:val="485670"/>
                <w:sz w:val="19"/>
              </w:rPr>
            </w:r>
          </w:p>
        </w:tc>
        <w:tc>
          <w:tcPr>
            <w:tcW w:type="dxa" w:w="2304"/>
          </w:tcPr>
          <w:p>
            <w:pPr>
              <w:spacing w:before="60" w:after="60"/>
            </w:pPr>
            <w:r>
              <w:rPr>
                <w:rFonts w:ascii="Segoe UI" w:hAnsi="Segoe UI"/>
                <w:color w:val="485670"/>
                <w:sz w:val="19"/>
              </w:rPr>
              <w:t>NVARCHAR(20)</w:t>
            </w:r>
          </w:p>
        </w:tc>
        <w:tc>
          <w:tcPr>
            <w:tcW w:type="dxa" w:w="4464"/>
          </w:tcPr>
          <w:p>
            <w:pPr>
              <w:spacing w:before="60" w:after="60"/>
            </w:pPr>
            <w:r>
              <w:rPr>
                <w:rFonts w:ascii="Segoe UI" w:hAnsi="Segoe UI"/>
                <w:color w:val="485670"/>
                <w:sz w:val="19"/>
              </w:rPr>
              <w:t>Full_Refresh | Incremental</w:t>
            </w:r>
          </w:p>
        </w:tc>
      </w:tr>
      <w:tr>
        <w:tc>
          <w:tcPr>
            <w:tcW w:type="dxa" w:w="3024"/>
          </w:tcPr>
          <w:p>
            <w:pPr>
              <w:spacing w:before="60" w:after="60"/>
            </w:pPr>
            <w:r>
              <w:rPr>
                <w:rFonts w:ascii="Segoe UI" w:hAnsi="Segoe UI"/>
                <w:color w:val="485670"/>
                <w:sz w:val="19"/>
              </w:rPr>
            </w:r>
            <w:r>
              <w:rPr>
                <w:rFonts w:ascii="Cascadia Code" w:hAnsi="Cascadia Code"/>
                <w:color w:val="0B68B0"/>
                <w:sz w:val="17"/>
              </w:rPr>
              <w:t>Watermark_ID</w:t>
            </w:r>
            <w:r>
              <w:rPr>
                <w:rFonts w:ascii="Segoe UI" w:hAnsi="Segoe UI"/>
                <w:color w:val="485670"/>
                <w:sz w:val="19"/>
              </w:rPr>
            </w:r>
          </w:p>
        </w:tc>
        <w:tc>
          <w:tcPr>
            <w:tcW w:type="dxa" w:w="2304"/>
          </w:tcPr>
          <w:p>
            <w:pPr>
              <w:spacing w:before="60" w:after="60"/>
            </w:pPr>
            <w:r>
              <w:rPr>
                <w:rFonts w:ascii="Segoe UI" w:hAnsi="Segoe UI"/>
                <w:color w:val="485670"/>
                <w:sz w:val="19"/>
              </w:rPr>
              <w:t>INT (FK, nullable)</w:t>
            </w:r>
          </w:p>
        </w:tc>
        <w:tc>
          <w:tcPr>
            <w:tcW w:type="dxa" w:w="4464"/>
          </w:tcPr>
          <w:p>
            <w:pPr>
              <w:spacing w:before="60" w:after="60"/>
            </w:pPr>
            <w:r>
              <w:rPr>
                <w:rFonts w:ascii="Segoe UI" w:hAnsi="Segoe UI"/>
                <w:color w:val="485670"/>
                <w:sz w:val="19"/>
              </w:rPr>
              <w:t>NULL for Full Refresh; references Watermark table for Incremental jobs</w:t>
            </w:r>
          </w:p>
        </w:tc>
      </w:tr>
      <w:tr>
        <w:tc>
          <w:tcPr>
            <w:tcW w:type="dxa" w:w="3024"/>
          </w:tcPr>
          <w:p>
            <w:pPr>
              <w:spacing w:before="60" w:after="60"/>
            </w:pPr>
            <w:r>
              <w:rPr>
                <w:rFonts w:ascii="Segoe UI" w:hAnsi="Segoe UI"/>
                <w:color w:val="485670"/>
                <w:sz w:val="19"/>
              </w:rPr>
            </w:r>
            <w:r>
              <w:rPr>
                <w:rFonts w:ascii="Cascadia Code" w:hAnsi="Cascadia Code"/>
                <w:color w:val="0B68B0"/>
                <w:sz w:val="17"/>
              </w:rPr>
              <w:t>Created_Date</w:t>
            </w:r>
            <w:r>
              <w:rPr>
                <w:rFonts w:ascii="Segoe UI" w:hAnsi="Segoe UI"/>
                <w:color w:val="485670"/>
                <w:sz w:val="19"/>
              </w:rPr>
            </w:r>
          </w:p>
        </w:tc>
        <w:tc>
          <w:tcPr>
            <w:tcW w:type="dxa" w:w="2304"/>
          </w:tcPr>
          <w:p>
            <w:pPr>
              <w:spacing w:before="60" w:after="60"/>
            </w:pPr>
            <w:r>
              <w:rPr>
                <w:rFonts w:ascii="Segoe UI" w:hAnsi="Segoe UI"/>
                <w:color w:val="485670"/>
                <w:sz w:val="19"/>
              </w:rPr>
              <w:t>DATETIME</w:t>
            </w:r>
          </w:p>
        </w:tc>
        <w:tc>
          <w:tcPr>
            <w:tcW w:type="dxa" w:w="4464"/>
          </w:tcPr>
          <w:p>
            <w:pPr>
              <w:spacing w:before="60" w:after="60"/>
            </w:pPr>
            <w:r>
              <w:rPr>
                <w:rFonts w:ascii="Segoe UI" w:hAnsi="Segoe UI"/>
                <w:color w:val="485670"/>
                <w:sz w:val="19"/>
              </w:rPr>
              <w:t>Auto-set on insert via default constraint</w:t>
            </w:r>
          </w:p>
        </w:tc>
      </w:tr>
      <w:tr>
        <w:tc>
          <w:tcPr>
            <w:tcW w:type="dxa" w:w="3024"/>
          </w:tcPr>
          <w:p>
            <w:pPr>
              <w:spacing w:before="60" w:after="60"/>
            </w:pPr>
            <w:r>
              <w:rPr>
                <w:rFonts w:ascii="Segoe UI" w:hAnsi="Segoe UI"/>
                <w:color w:val="485670"/>
                <w:sz w:val="19"/>
              </w:rPr>
            </w:r>
            <w:r>
              <w:rPr>
                <w:rFonts w:ascii="Cascadia Code" w:hAnsi="Cascadia Code"/>
                <w:color w:val="0B68B0"/>
                <w:sz w:val="17"/>
              </w:rPr>
              <w:t>Modified_Date</w:t>
            </w:r>
            <w:r>
              <w:rPr>
                <w:rFonts w:ascii="Segoe UI" w:hAnsi="Segoe UI"/>
                <w:color w:val="485670"/>
                <w:sz w:val="19"/>
              </w:rPr>
            </w:r>
          </w:p>
        </w:tc>
        <w:tc>
          <w:tcPr>
            <w:tcW w:type="dxa" w:w="2304"/>
          </w:tcPr>
          <w:p>
            <w:pPr>
              <w:spacing w:before="60" w:after="60"/>
            </w:pPr>
            <w:r>
              <w:rPr>
                <w:rFonts w:ascii="Segoe UI" w:hAnsi="Segoe UI"/>
                <w:color w:val="485670"/>
                <w:sz w:val="19"/>
              </w:rPr>
              <w:t>DATETIME</w:t>
            </w:r>
          </w:p>
        </w:tc>
        <w:tc>
          <w:tcPr>
            <w:tcW w:type="dxa" w:w="4464"/>
          </w:tcPr>
          <w:p>
            <w:pPr>
              <w:spacing w:before="60" w:after="60"/>
            </w:pPr>
            <w:r>
              <w:rPr>
                <w:rFonts w:ascii="Segoe UI" w:hAnsi="Segoe UI"/>
                <w:color w:val="485670"/>
                <w:sz w:val="19"/>
              </w:rPr>
              <w:t>Tracks last modification timestamp</w:t>
            </w:r>
          </w:p>
        </w:tc>
      </w:tr>
      <w:tr>
        <w:tc>
          <w:tcPr>
            <w:tcW w:type="dxa" w:w="3024"/>
          </w:tcPr>
          <w:p>
            <w:pPr>
              <w:spacing w:before="60" w:after="60"/>
            </w:pPr>
            <w:r>
              <w:rPr>
                <w:rFonts w:ascii="Segoe UI" w:hAnsi="Segoe UI"/>
                <w:color w:val="485670"/>
                <w:sz w:val="19"/>
              </w:rPr>
            </w:r>
            <w:r>
              <w:rPr>
                <w:rFonts w:ascii="Cascadia Code" w:hAnsi="Cascadia Code"/>
                <w:color w:val="0B68B0"/>
                <w:sz w:val="17"/>
              </w:rPr>
              <w:t>Modified_By</w:t>
            </w:r>
            <w:r>
              <w:rPr>
                <w:rFonts w:ascii="Segoe UI" w:hAnsi="Segoe UI"/>
                <w:color w:val="485670"/>
                <w:sz w:val="19"/>
              </w:rPr>
            </w:r>
          </w:p>
        </w:tc>
        <w:tc>
          <w:tcPr>
            <w:tcW w:type="dxa" w:w="2304"/>
          </w:tcPr>
          <w:p>
            <w:pPr>
              <w:spacing w:before="60" w:after="60"/>
            </w:pPr>
            <w:r>
              <w:rPr>
                <w:rFonts w:ascii="Segoe UI" w:hAnsi="Segoe UI"/>
                <w:color w:val="485670"/>
                <w:sz w:val="19"/>
              </w:rPr>
              <w:t>NVARCHAR(100)</w:t>
            </w:r>
          </w:p>
        </w:tc>
        <w:tc>
          <w:tcPr>
            <w:tcW w:type="dxa" w:w="4464"/>
          </w:tcPr>
          <w:p>
            <w:pPr>
              <w:spacing w:before="60" w:after="60"/>
            </w:pPr>
            <w:r>
              <w:rPr>
                <w:rFonts w:ascii="Segoe UI" w:hAnsi="Segoe UI"/>
                <w:color w:val="485670"/>
                <w:sz w:val="19"/>
              </w:rPr>
              <w:t>Auto-set via SUSER_SNAME() — captures who last modified the row</w:t>
            </w:r>
          </w:p>
        </w:tc>
      </w:tr>
    </w:tbl>
    <w:p/>
    <w:p>
      <w:pPr>
        <w:spacing w:before="360" w:after="120"/>
        <w:pBdr>
          <w:bottom w:val="single" w:sz="4" w:space="3" w:color="E3EFF9"/>
        </w:pBdr>
      </w:pPr>
      <w:r>
        <w:rPr>
          <w:rFonts w:ascii="Segoe UI Semibold" w:hAnsi="Segoe UI Semibold"/>
          <w:b/>
          <w:color w:val="1B2238"/>
          <w:sz w:val="26"/>
        </w:rPr>
        <w:t>Runtime View — MasterRef</w:t>
      </w:r>
    </w:p>
    <w:p>
      <w:pPr>
        <w:spacing w:after="100"/>
      </w:pPr>
      <w:r>
        <w:rPr>
          <w:rFonts w:ascii="Segoe UI" w:hAnsi="Segoe UI"/>
          <w:color w:val="485670"/>
          <w:sz w:val="21"/>
        </w:rPr>
        <w:t>EDP_Metadata.MasterRef is a denormalized view that joins MetadataRef with all its lookup tables. The ADF Lookup activity targets this view with firstRowOnly: false to retrieve the complete runtime configuration for all active jobs belonging to a given TriggerName. The view derives two computed values:</w:t>
      </w:r>
    </w:p>
    <w:p>
      <w:pPr>
        <w:pStyle w:val="ListBullet"/>
        <w:spacing w:after="60"/>
        <w:ind w:left="360"/>
      </w:pPr>
      <w:r>
        <w:rPr>
          <w:rFonts w:ascii="Segoe UI" w:hAnsi="Segoe UI"/>
          <w:color w:val="485670"/>
          <w:sz w:val="21"/>
        </w:rPr>
        <w:t>Pipeline_Name — format: PL_{InputSource}_{OutputSource}_{FULL|INCREMENTAL}_{INGRESS|EGRESS}</w:t>
      </w:r>
    </w:p>
    <w:p>
      <w:pPr>
        <w:pStyle w:val="ListBullet"/>
        <w:spacing w:after="60"/>
        <w:ind w:left="360"/>
      </w:pPr>
      <w:r>
        <w:rPr>
          <w:rFonts w:ascii="Segoe UI" w:hAnsi="Segoe UI"/>
          <w:color w:val="485670"/>
          <w:sz w:val="21"/>
        </w:rPr>
        <w:t>SwitchCaseRef — format: SW_{InputLS}_{InputFormat}_{OutputLS}_{OutputFormat} — routes the Switch activity to the correct Copy activity</w:t>
      </w:r>
    </w:p>
    <w:p>
      <w:pPr>
        <w:spacing w:before="360" w:after="120"/>
        <w:pBdr>
          <w:bottom w:val="single" w:sz="4" w:space="3" w:color="E3EFF9"/>
        </w:pBdr>
      </w:pPr>
      <w:r>
        <w:rPr>
          <w:rFonts w:ascii="Segoe UI Semibold" w:hAnsi="Segoe UI Semibold"/>
          <w:b/>
          <w:color w:val="1B2238"/>
          <w:sz w:val="26"/>
        </w:rPr>
        <w:t>Lookup Tables</w:t>
      </w:r>
    </w:p>
    <w:tbl>
      <w:tblPr>
        <w:tblStyle w:val="TableGrid"/>
        <w:tblW w:type="auto" w:w="0"/>
        <w:jc w:val="left"/>
        <w:tblLook w:firstColumn="1" w:firstRow="1" w:lastColumn="0" w:lastRow="0" w:noHBand="0" w:noVBand="1" w:val="04A0"/>
      </w:tblPr>
      <w:tblGrid>
        <w:gridCol w:w="2928"/>
        <w:gridCol w:w="2928"/>
        <w:gridCol w:w="2928"/>
      </w:tblGrid>
      <w:tr>
        <w:tc>
          <w:tcPr>
            <w:tcW w:type="dxa" w:w="2304"/>
            <w:shd w:val="clear" w:color="auto" w:fill="EBF0F8"/>
          </w:tcPr>
          <w:p>
            <w:pPr>
              <w:spacing w:before="60" w:after="60"/>
            </w:pPr>
            <w:r>
              <w:rPr>
                <w:rFonts w:ascii="Segoe UI" w:hAnsi="Segoe UI"/>
                <w:b/>
                <w:color w:val="6A788F"/>
                <w:sz w:val="15"/>
              </w:rPr>
              <w:t>TABLE</w:t>
            </w:r>
          </w:p>
        </w:tc>
        <w:tc>
          <w:tcPr>
            <w:tcW w:type="dxa" w:w="5328"/>
            <w:shd w:val="clear" w:color="auto" w:fill="EBF0F8"/>
          </w:tcPr>
          <w:p>
            <w:pPr>
              <w:spacing w:before="60" w:after="60"/>
            </w:pPr>
            <w:r>
              <w:rPr>
                <w:rFonts w:ascii="Segoe UI" w:hAnsi="Segoe UI"/>
                <w:b/>
                <w:color w:val="6A788F"/>
                <w:sz w:val="15"/>
              </w:rPr>
              <w:t>PURPOSE</w:t>
            </w:r>
          </w:p>
        </w:tc>
        <w:tc>
          <w:tcPr>
            <w:tcW w:type="dxa" w:w="2160"/>
            <w:shd w:val="clear" w:color="auto" w:fill="EBF0F8"/>
          </w:tcPr>
          <w:p>
            <w:pPr>
              <w:spacing w:before="60" w:after="60"/>
            </w:pPr>
            <w:r>
              <w:rPr>
                <w:rFonts w:ascii="Segoe UI" w:hAnsi="Segoe UI"/>
                <w:b/>
                <w:color w:val="6A788F"/>
                <w:sz w:val="15"/>
              </w:rPr>
              <w:t>KEY COLUMNS</w:t>
            </w:r>
          </w:p>
        </w:tc>
      </w:tr>
      <w:tr>
        <w:tc>
          <w:tcPr>
            <w:tcW w:type="dxa" w:w="2304"/>
          </w:tcPr>
          <w:p>
            <w:pPr>
              <w:spacing w:before="60" w:after="60"/>
            </w:pPr>
            <w:r>
              <w:rPr>
                <w:rFonts w:ascii="Segoe UI" w:hAnsi="Segoe UI"/>
                <w:color w:val="485670"/>
                <w:sz w:val="19"/>
              </w:rPr>
              <w:t>SourceRef</w:t>
            </w:r>
          </w:p>
        </w:tc>
        <w:tc>
          <w:tcPr>
            <w:tcW w:type="dxa" w:w="5328"/>
          </w:tcPr>
          <w:p>
            <w:pPr>
              <w:spacing w:before="60" w:after="60"/>
            </w:pPr>
            <w:r>
              <w:rPr>
                <w:rFonts w:ascii="Segoe UI" w:hAnsi="Segoe UI"/>
                <w:color w:val="485670"/>
                <w:sz w:val="19"/>
              </w:rPr>
              <w:t>Registry of all supported data source types. Source_Ref is the short code used in naming.</w:t>
            </w:r>
          </w:p>
        </w:tc>
        <w:tc>
          <w:tcPr>
            <w:tcW w:type="dxa" w:w="2160"/>
          </w:tcPr>
          <w:p>
            <w:pPr>
              <w:spacing w:before="60" w:after="60"/>
            </w:pPr>
            <w:r>
              <w:rPr>
                <w:rFonts w:ascii="Segoe UI" w:hAnsi="Segoe UI"/>
                <w:color w:val="485670"/>
                <w:sz w:val="19"/>
              </w:rPr>
              <w:t>Source, Source_Ref</w:t>
            </w:r>
          </w:p>
        </w:tc>
      </w:tr>
      <w:tr>
        <w:tc>
          <w:tcPr>
            <w:tcW w:type="dxa" w:w="2304"/>
          </w:tcPr>
          <w:p>
            <w:pPr>
              <w:spacing w:before="60" w:after="60"/>
            </w:pPr>
            <w:r>
              <w:rPr>
                <w:rFonts w:ascii="Segoe UI" w:hAnsi="Segoe UI"/>
                <w:color w:val="485670"/>
                <w:sz w:val="19"/>
              </w:rPr>
              <w:t>FileFormat</w:t>
            </w:r>
          </w:p>
        </w:tc>
        <w:tc>
          <w:tcPr>
            <w:tcW w:type="dxa" w:w="5328"/>
          </w:tcPr>
          <w:p>
            <w:pPr>
              <w:spacing w:before="60" w:after="60"/>
            </w:pPr>
            <w:r>
              <w:rPr>
                <w:rFonts w:ascii="Segoe UI" w:hAnsi="Segoe UI"/>
                <w:color w:val="485670"/>
                <w:sz w:val="19"/>
              </w:rPr>
              <w:t>Lookup of all supported file formats (CSV, Parquet, JSON, GZIP_CSV, ZIP_CSV, BINARY, etc.).</w:t>
            </w:r>
          </w:p>
        </w:tc>
        <w:tc>
          <w:tcPr>
            <w:tcW w:type="dxa" w:w="2160"/>
          </w:tcPr>
          <w:p>
            <w:pPr>
              <w:spacing w:before="60" w:after="60"/>
            </w:pPr>
            <w:r>
              <w:rPr>
                <w:rFonts w:ascii="Segoe UI" w:hAnsi="Segoe UI"/>
                <w:color w:val="485670"/>
                <w:sz w:val="19"/>
              </w:rPr>
              <w:t>Format</w:t>
            </w:r>
          </w:p>
        </w:tc>
      </w:tr>
      <w:tr>
        <w:tc>
          <w:tcPr>
            <w:tcW w:type="dxa" w:w="2304"/>
          </w:tcPr>
          <w:p>
            <w:pPr>
              <w:spacing w:before="60" w:after="60"/>
            </w:pPr>
            <w:r>
              <w:rPr>
                <w:rFonts w:ascii="Segoe UI" w:hAnsi="Segoe UI"/>
                <w:color w:val="485670"/>
                <w:sz w:val="19"/>
              </w:rPr>
              <w:t>DatasetRef</w:t>
            </w:r>
          </w:p>
        </w:tc>
        <w:tc>
          <w:tcPr>
            <w:tcW w:type="dxa" w:w="5328"/>
          </w:tcPr>
          <w:p>
            <w:pPr>
              <w:spacing w:before="60" w:after="60"/>
            </w:pPr>
            <w:r>
              <w:rPr>
                <w:rFonts w:ascii="Segoe UI" w:hAnsi="Segoe UI"/>
                <w:color w:val="485670"/>
                <w:sz w:val="19"/>
              </w:rPr>
              <w:t>Unique Source + FileFormat combinations that define available ADF dataset types.</w:t>
            </w:r>
          </w:p>
        </w:tc>
        <w:tc>
          <w:tcPr>
            <w:tcW w:type="dxa" w:w="2160"/>
          </w:tcPr>
          <w:p>
            <w:pPr>
              <w:spacing w:before="60" w:after="60"/>
            </w:pPr>
            <w:r>
              <w:rPr>
                <w:rFonts w:ascii="Segoe UI" w:hAnsi="Segoe UI"/>
                <w:color w:val="485670"/>
                <w:sz w:val="19"/>
              </w:rPr>
              <w:t>Dataset_Name, Source_ID, FileFormat_ID</w:t>
            </w:r>
          </w:p>
        </w:tc>
      </w:tr>
      <w:tr>
        <w:tc>
          <w:tcPr>
            <w:tcW w:type="dxa" w:w="2304"/>
          </w:tcPr>
          <w:p>
            <w:pPr>
              <w:spacing w:before="60" w:after="60"/>
            </w:pPr>
            <w:r>
              <w:rPr>
                <w:rFonts w:ascii="Segoe UI" w:hAnsi="Segoe UI"/>
                <w:color w:val="485670"/>
                <w:sz w:val="19"/>
              </w:rPr>
              <w:t>LinkedServiceRef</w:t>
            </w:r>
          </w:p>
        </w:tc>
        <w:tc>
          <w:tcPr>
            <w:tcW w:type="dxa" w:w="5328"/>
          </w:tcPr>
          <w:p>
            <w:pPr>
              <w:spacing w:before="60" w:after="60"/>
            </w:pPr>
            <w:r>
              <w:rPr>
                <w:rFonts w:ascii="Segoe UI" w:hAnsi="Segoe UI"/>
                <w:color w:val="485670"/>
                <w:sz w:val="19"/>
              </w:rPr>
              <w:t>Catalogue of ADF linked services. Connection strings stored as JSON templates; runtime values supplied dynamically.</w:t>
            </w:r>
          </w:p>
        </w:tc>
        <w:tc>
          <w:tcPr>
            <w:tcW w:type="dxa" w:w="2160"/>
          </w:tcPr>
          <w:p>
            <w:pPr>
              <w:spacing w:before="60" w:after="60"/>
            </w:pPr>
            <w:r>
              <w:rPr>
                <w:rFonts w:ascii="Segoe UI" w:hAnsi="Segoe UI"/>
                <w:color w:val="485670"/>
                <w:sz w:val="19"/>
              </w:rPr>
              <w:t>LinkedServiceName, LinkedServiceConnectionString</w:t>
            </w:r>
          </w:p>
        </w:tc>
      </w:tr>
      <w:tr>
        <w:tc>
          <w:tcPr>
            <w:tcW w:type="dxa" w:w="2304"/>
          </w:tcPr>
          <w:p>
            <w:pPr>
              <w:spacing w:before="60" w:after="60"/>
            </w:pPr>
            <w:r>
              <w:rPr>
                <w:rFonts w:ascii="Segoe UI" w:hAnsi="Segoe UI"/>
                <w:color w:val="485670"/>
                <w:sz w:val="19"/>
              </w:rPr>
              <w:t>SystemAuth</w:t>
            </w:r>
          </w:p>
        </w:tc>
        <w:tc>
          <w:tcPr>
            <w:tcW w:type="dxa" w:w="5328"/>
          </w:tcPr>
          <w:p>
            <w:pPr>
              <w:spacing w:before="60" w:after="60"/>
            </w:pPr>
            <w:r>
              <w:rPr>
                <w:rFonts w:ascii="Segoe UI" w:hAnsi="Segoe UI"/>
                <w:color w:val="485670"/>
                <w:sz w:val="19"/>
              </w:rPr>
              <w:t>Registry of supported authentication types for linked services.</w:t>
            </w:r>
          </w:p>
        </w:tc>
        <w:tc>
          <w:tcPr>
            <w:tcW w:type="dxa" w:w="2160"/>
          </w:tcPr>
          <w:p>
            <w:pPr>
              <w:spacing w:before="60" w:after="60"/>
            </w:pPr>
            <w:r>
              <w:rPr>
                <w:rFonts w:ascii="Segoe UI" w:hAnsi="Segoe UI"/>
                <w:color w:val="485670"/>
                <w:sz w:val="19"/>
              </w:rPr>
              <w:t>Authentication_Type, Auth_Ref, Connectors</w:t>
            </w:r>
          </w:p>
        </w:tc>
      </w:tr>
      <w:tr>
        <w:tc>
          <w:tcPr>
            <w:tcW w:type="dxa" w:w="2304"/>
          </w:tcPr>
          <w:p>
            <w:pPr>
              <w:spacing w:before="60" w:after="60"/>
            </w:pPr>
            <w:r>
              <w:rPr>
                <w:rFonts w:ascii="Segoe UI" w:hAnsi="Segoe UI"/>
                <w:color w:val="485670"/>
                <w:sz w:val="19"/>
              </w:rPr>
              <w:t>BusinessDomainRef</w:t>
            </w:r>
          </w:p>
        </w:tc>
        <w:tc>
          <w:tcPr>
            <w:tcW w:type="dxa" w:w="5328"/>
          </w:tcPr>
          <w:p>
            <w:pPr>
              <w:spacing w:before="60" w:after="60"/>
            </w:pPr>
            <w:r>
              <w:rPr>
                <w:rFonts w:ascii="Segoe UI" w:hAnsi="Segoe UI"/>
                <w:color w:val="485670"/>
                <w:sz w:val="19"/>
              </w:rPr>
              <w:t>Lookup of business domains for governance classification.</w:t>
            </w:r>
          </w:p>
        </w:tc>
        <w:tc>
          <w:tcPr>
            <w:tcW w:type="dxa" w:w="2160"/>
          </w:tcPr>
          <w:p>
            <w:pPr>
              <w:spacing w:before="60" w:after="60"/>
            </w:pPr>
            <w:r>
              <w:rPr>
                <w:rFonts w:ascii="Segoe UI" w:hAnsi="Segoe UI"/>
                <w:color w:val="485670"/>
                <w:sz w:val="19"/>
              </w:rPr>
              <w:t>Business_Domain_Name</w:t>
            </w:r>
          </w:p>
        </w:tc>
      </w:tr>
      <w:tr>
        <w:tc>
          <w:tcPr>
            <w:tcW w:type="dxa" w:w="2304"/>
          </w:tcPr>
          <w:p>
            <w:pPr>
              <w:spacing w:before="60" w:after="60"/>
            </w:pPr>
            <w:r>
              <w:rPr>
                <w:rFonts w:ascii="Segoe UI" w:hAnsi="Segoe UI"/>
                <w:color w:val="485670"/>
                <w:sz w:val="19"/>
              </w:rPr>
              <w:t>colDelimitterRef</w:t>
            </w:r>
          </w:p>
        </w:tc>
        <w:tc>
          <w:tcPr>
            <w:tcW w:type="dxa" w:w="5328"/>
          </w:tcPr>
          <w:p>
            <w:pPr>
              <w:spacing w:before="60" w:after="60"/>
            </w:pPr>
            <w:r>
              <w:rPr>
                <w:rFonts w:ascii="Segoe UI" w:hAnsi="Segoe UI"/>
                <w:color w:val="485670"/>
                <w:sz w:val="19"/>
              </w:rPr>
              <w:t>Column delimiter reference: Comma, Semicolon, Pipe, Tab, Start of Heading, No Delimiter.</w:t>
            </w:r>
          </w:p>
        </w:tc>
        <w:tc>
          <w:tcPr>
            <w:tcW w:type="dxa" w:w="2160"/>
          </w:tcPr>
          <w:p>
            <w:pPr>
              <w:spacing w:before="60" w:after="60"/>
            </w:pPr>
            <w:r>
              <w:rPr>
                <w:rFonts w:ascii="Segoe UI" w:hAnsi="Segoe UI"/>
                <w:color w:val="485670"/>
                <w:sz w:val="19"/>
              </w:rPr>
              <w:t>colDelRefName, colDelRefValue</w:t>
            </w:r>
          </w:p>
        </w:tc>
      </w:tr>
      <w:tr>
        <w:tc>
          <w:tcPr>
            <w:tcW w:type="dxa" w:w="2304"/>
          </w:tcPr>
          <w:p>
            <w:pPr>
              <w:spacing w:before="60" w:after="60"/>
            </w:pPr>
            <w:r>
              <w:rPr>
                <w:rFonts w:ascii="Segoe UI" w:hAnsi="Segoe UI"/>
                <w:color w:val="485670"/>
                <w:sz w:val="19"/>
              </w:rPr>
              <w:t>Watermark</w:t>
            </w:r>
          </w:p>
        </w:tc>
        <w:tc>
          <w:tcPr>
            <w:tcW w:type="dxa" w:w="5328"/>
          </w:tcPr>
          <w:p>
            <w:pPr>
              <w:spacing w:before="60" w:after="60"/>
            </w:pPr>
            <w:r>
              <w:rPr>
                <w:rFonts w:ascii="Segoe UI" w:hAnsi="Segoe UI"/>
                <w:color w:val="485670"/>
                <w:sz w:val="19"/>
              </w:rPr>
              <w:t>High-water mark per incremental job. Watermark_Column identifies the filter column (SQL) or documents the time boundary (file-based sources).</w:t>
            </w:r>
          </w:p>
        </w:tc>
        <w:tc>
          <w:tcPr>
            <w:tcW w:type="dxa" w:w="2160"/>
          </w:tcPr>
          <w:p>
            <w:pPr>
              <w:spacing w:before="60" w:after="60"/>
            </w:pPr>
            <w:r>
              <w:rPr>
                <w:rFonts w:ascii="Segoe UI" w:hAnsi="Segoe UI"/>
                <w:color w:val="485670"/>
                <w:sz w:val="19"/>
              </w:rPr>
              <w:t>Watermark_Value, Watermark_Column</w:t>
            </w:r>
          </w:p>
        </w:tc>
      </w:tr>
    </w:tbl>
    <w:p/>
    <w:p>
      <w:pPr>
        <w:spacing w:before="360" w:after="40"/>
      </w:pPr>
      <w:r>
        <w:rPr>
          <w:rFonts w:ascii="Segoe UI" w:hAnsi="Segoe UI"/>
          <w:b/>
          <w:color w:val="0B68B0"/>
          <w:sz w:val="15"/>
        </w:rPr>
        <w:t>05 — EXECUTION MODEL</w:t>
      </w:r>
    </w:p>
    <w:p>
      <w:pPr>
        <w:spacing w:before="80" w:after="200"/>
        <w:pBdr>
          <w:bottom w:val="single" w:sz="8" w:space="4" w:color="E3EFF9"/>
        </w:pBdr>
      </w:pPr>
      <w:r>
        <w:rPr>
          <w:rFonts w:ascii="Segoe UI Semibold" w:hAnsi="Segoe UI Semibold"/>
          <w:b/>
          <w:color w:val="1B2238"/>
          <w:sz w:val="44"/>
        </w:rPr>
        <w:t>Runtime Execution Model</w:t>
      </w:r>
    </w:p>
    <w:p>
      <w:pPr>
        <w:spacing w:after="100"/>
      </w:pPr>
      <w:r>
        <w:rPr>
          <w:rFonts w:ascii="Segoe UI" w:hAnsi="Segoe UI"/>
          <w:color w:val="485670"/>
          <w:sz w:val="21"/>
        </w:rPr>
        <w:t>At runtime, ADF resolves all parameters from the metadata control plane. No configuration is embedded in the pipeline definition. The execution sequence is identical for every job regardless of source, target, or load pattern:</w:t>
      </w:r>
    </w:p>
    <w:p>
      <w:pPr>
        <w:spacing w:after="80"/>
        <w:ind w:left="216"/>
      </w:pPr>
      <w:r>
        <w:rPr>
          <w:rFonts w:ascii="Segoe UI" w:hAnsi="Segoe UI"/>
          <w:b/>
          <w:color w:val="0B68B0"/>
          <w:sz w:val="21"/>
        </w:rPr>
        <w:t xml:space="preserve">1.  </w:t>
      </w:r>
      <w:r>
        <w:rPr>
          <w:rFonts w:ascii="Segoe UI" w:hAnsi="Segoe UI"/>
          <w:color w:val="485670"/>
          <w:sz w:val="21"/>
        </w:rPr>
        <w:t>A scheduled or event-based trigger fires in ADF, passing TriggerName as a pipeline parameter.</w:t>
      </w:r>
    </w:p>
    <w:p>
      <w:pPr>
        <w:spacing w:after="80"/>
        <w:ind w:left="216"/>
      </w:pPr>
      <w:r>
        <w:rPr>
          <w:rFonts w:ascii="Segoe UI" w:hAnsi="Segoe UI"/>
          <w:b/>
          <w:color w:val="0B68B0"/>
          <w:sz w:val="21"/>
        </w:rPr>
        <w:t xml:space="preserve">2.  </w:t>
      </w:r>
      <w:r>
        <w:rPr>
          <w:rFonts w:ascii="Segoe UI" w:hAnsi="Segoe UI"/>
          <w:color w:val="485670"/>
          <w:sz w:val="21"/>
        </w:rPr>
        <w:t>A Lookup activity queries EDP_Metadata.MasterRef (firstRowOnly: false), returning full runtime config for every active job in one call. The Lookup dataset references the metadata Azure SQL database via ADF Global Parameters (@pipeline().globalParameters.MetadataServerName and @pipeline().globalParameters.MetadataDatabaseName).</w:t>
      </w:r>
    </w:p>
    <w:p>
      <w:pPr>
        <w:spacing w:after="80"/>
        <w:ind w:left="216"/>
      </w:pPr>
      <w:r>
        <w:rPr>
          <w:rFonts w:ascii="Segoe UI" w:hAnsi="Segoe UI"/>
          <w:b/>
          <w:color w:val="0B68B0"/>
          <w:sz w:val="21"/>
        </w:rPr>
        <w:t xml:space="preserve">3.  </w:t>
      </w:r>
      <w:r>
        <w:rPr>
          <w:rFonts w:ascii="Segoe UI" w:hAnsi="Segoe UI"/>
          <w:color w:val="485670"/>
          <w:sz w:val="21"/>
        </w:rPr>
        <w:t>A ForEach activity iterates over all returned rows in parallel (batchCount: 5), passing each job's full metadata row to the nested activities.</w:t>
      </w:r>
    </w:p>
    <w:p>
      <w:pPr>
        <w:spacing w:after="80"/>
        <w:ind w:left="216"/>
      </w:pPr>
      <w:r>
        <w:rPr>
          <w:rFonts w:ascii="Segoe UI" w:hAnsi="Segoe UI"/>
          <w:b/>
          <w:color w:val="0B68B0"/>
          <w:sz w:val="21"/>
        </w:rPr>
        <w:t xml:space="preserve">4.  </w:t>
      </w:r>
      <w:r>
        <w:rPr>
          <w:rFonts w:ascii="Segoe UI" w:hAnsi="Segoe UI"/>
          <w:color w:val="485670"/>
          <w:sz w:val="21"/>
        </w:rPr>
        <w:t>A Switch activity evaluates the SwitchCaseRef value from the current iteration's row to route to the correct Copy activity set for the connector and file format.</w:t>
      </w:r>
    </w:p>
    <w:p>
      <w:pPr>
        <w:spacing w:after="80"/>
        <w:ind w:left="216"/>
      </w:pPr>
      <w:r>
        <w:rPr>
          <w:rFonts w:ascii="Segoe UI" w:hAnsi="Segoe UI"/>
          <w:b/>
          <w:color w:val="0B68B0"/>
          <w:sz w:val="21"/>
        </w:rPr>
        <w:t xml:space="preserve">5.  </w:t>
      </w:r>
      <w:r>
        <w:rPr>
          <w:rFonts w:ascii="Segoe UI" w:hAnsi="Segoe UI"/>
          <w:color w:val="485670"/>
          <w:sz w:val="21"/>
        </w:rPr>
        <w:t>The Copy activity executes using fully dynamic ADF expressions. Container names, directory paths, filenames, SQL queries, and column delimiters are all resolved from MetadataSettingsInput / MetadataSettingsOutput JSON at runtime.</w:t>
      </w:r>
    </w:p>
    <w:p>
      <w:pPr>
        <w:spacing w:after="80"/>
        <w:ind w:left="216"/>
      </w:pPr>
      <w:r>
        <w:rPr>
          <w:rFonts w:ascii="Segoe UI" w:hAnsi="Segoe UI"/>
          <w:b/>
          <w:color w:val="0B68B0"/>
          <w:sz w:val="21"/>
        </w:rPr>
        <w:t xml:space="preserve">6.  </w:t>
      </w:r>
      <w:r>
        <w:rPr>
          <w:rFonts w:ascii="Segoe UI" w:hAnsi="Segoe UI"/>
          <w:color w:val="485670"/>
          <w:sz w:val="21"/>
        </w:rPr>
        <w:t>For Incremental jobs: the watermark boundary is applied as a source-side filter before the copy. After a successful copy that transfers at least one row (or file), Watermark_Value is updated to UTC now. If zero rows are transferred, the watermark is intentionally not advanced.</w:t>
      </w:r>
    </w:p>
    <w:p>
      <w:pPr>
        <w:spacing w:before="360" w:after="40"/>
      </w:pPr>
      <w:r>
        <w:rPr>
          <w:rFonts w:ascii="Segoe UI" w:hAnsi="Segoe UI"/>
          <w:b/>
          <w:color w:val="0B68B0"/>
          <w:sz w:val="15"/>
        </w:rPr>
        <w:t>06 — DEPLOYED PIPELINES</w:t>
      </w:r>
    </w:p>
    <w:p>
      <w:pPr>
        <w:spacing w:before="80" w:after="200"/>
        <w:pBdr>
          <w:bottom w:val="single" w:sz="8" w:space="4" w:color="E3EFF9"/>
        </w:pBdr>
      </w:pPr>
      <w:r>
        <w:rPr>
          <w:rFonts w:ascii="Segoe UI Semibold" w:hAnsi="Segoe UI Semibold"/>
          <w:b/>
          <w:color w:val="1B2238"/>
          <w:sz w:val="44"/>
        </w:rPr>
        <w:t>Pipeline Catalog</w:t>
      </w:r>
    </w:p>
    <w:p>
      <w:pPr>
        <w:spacing w:after="100"/>
      </w:pPr>
      <w:r>
        <w:rPr>
          <w:rFonts w:ascii="Segoe UI" w:hAnsi="Segoe UI"/>
          <w:color w:val="485670"/>
          <w:sz w:val="21"/>
        </w:rPr>
        <w:t>Four generic pipelines are deployed in adfclaude01. Each pipeline is driven entirely by metadata — no source-specific logic exists in any pipeline definition. The only pipeline-level parameter across all four pipelines is TriggerName, which scopes the Lookup to the correct set of jobs.</w:t>
      </w:r>
    </w:p>
    <w:tbl>
      <w:tblPr>
        <w:tblStyle w:val="TableGrid"/>
        <w:tblW w:type="auto" w:w="0"/>
        <w:jc w:val="left"/>
        <w:tblLook w:firstColumn="1" w:firstRow="1" w:lastColumn="0" w:lastRow="0" w:noHBand="0" w:noVBand="1" w:val="04A0"/>
      </w:tblPr>
      <w:tblGrid>
        <w:gridCol w:w="1757"/>
        <w:gridCol w:w="1757"/>
        <w:gridCol w:w="1757"/>
        <w:gridCol w:w="1757"/>
        <w:gridCol w:w="1757"/>
      </w:tblGrid>
      <w:tr>
        <w:tc>
          <w:tcPr>
            <w:tcW w:type="dxa" w:w="3456"/>
            <w:shd w:val="clear" w:color="auto" w:fill="EBF0F8"/>
          </w:tcPr>
          <w:p>
            <w:pPr>
              <w:spacing w:before="60" w:after="60"/>
            </w:pPr>
            <w:r>
              <w:rPr>
                <w:rFonts w:ascii="Segoe UI" w:hAnsi="Segoe UI"/>
                <w:b/>
                <w:color w:val="6A788F"/>
                <w:sz w:val="15"/>
              </w:rPr>
              <w:t>PIPELINE</w:t>
            </w:r>
          </w:p>
        </w:tc>
        <w:tc>
          <w:tcPr>
            <w:tcW w:type="dxa" w:w="1440"/>
            <w:shd w:val="clear" w:color="auto" w:fill="EBF0F8"/>
          </w:tcPr>
          <w:p>
            <w:pPr>
              <w:spacing w:before="60" w:after="60"/>
            </w:pPr>
            <w:r>
              <w:rPr>
                <w:rFonts w:ascii="Segoe UI" w:hAnsi="Segoe UI"/>
                <w:b/>
                <w:color w:val="6A788F"/>
                <w:sz w:val="15"/>
              </w:rPr>
              <w:t>SOURCE</w:t>
            </w:r>
          </w:p>
        </w:tc>
        <w:tc>
          <w:tcPr>
            <w:tcW w:type="dxa" w:w="1440"/>
            <w:shd w:val="clear" w:color="auto" w:fill="EBF0F8"/>
          </w:tcPr>
          <w:p>
            <w:pPr>
              <w:spacing w:before="60" w:after="60"/>
            </w:pPr>
            <w:r>
              <w:rPr>
                <w:rFonts w:ascii="Segoe UI" w:hAnsi="Segoe UI"/>
                <w:b/>
                <w:color w:val="6A788F"/>
                <w:sz w:val="15"/>
              </w:rPr>
              <w:t>TARGET</w:t>
            </w:r>
          </w:p>
        </w:tc>
        <w:tc>
          <w:tcPr>
            <w:tcW w:type="dxa" w:w="1584"/>
            <w:shd w:val="clear" w:color="auto" w:fill="EBF0F8"/>
          </w:tcPr>
          <w:p>
            <w:pPr>
              <w:spacing w:before="60" w:after="60"/>
            </w:pPr>
            <w:r>
              <w:rPr>
                <w:rFonts w:ascii="Segoe UI" w:hAnsi="Segoe UI"/>
                <w:b/>
                <w:color w:val="6A788F"/>
                <w:sz w:val="15"/>
              </w:rPr>
              <w:t>LOAD TYPE</w:t>
            </w:r>
          </w:p>
        </w:tc>
        <w:tc>
          <w:tcPr>
            <w:tcW w:type="dxa" w:w="3312"/>
            <w:shd w:val="clear" w:color="auto" w:fill="EBF0F8"/>
          </w:tcPr>
          <w:p>
            <w:pPr>
              <w:spacing w:before="60" w:after="60"/>
            </w:pPr>
            <w:r>
              <w:rPr>
                <w:rFonts w:ascii="Segoe UI" w:hAnsi="Segoe UI"/>
                <w:b/>
                <w:color w:val="6A788F"/>
                <w:sz w:val="15"/>
              </w:rPr>
              <w:t>SWITCH CASES</w:t>
            </w:r>
          </w:p>
        </w:tc>
      </w:tr>
      <w:tr>
        <w:tc>
          <w:tcPr>
            <w:tcW w:type="dxa" w:w="3456"/>
          </w:tcPr>
          <w:p>
            <w:pPr>
              <w:spacing w:before="60" w:after="60"/>
            </w:pPr>
            <w:r>
              <w:rPr>
                <w:rFonts w:ascii="Segoe UI" w:hAnsi="Segoe UI"/>
                <w:color w:val="485670"/>
                <w:sz w:val="19"/>
              </w:rPr>
            </w:r>
            <w:r>
              <w:rPr>
                <w:rFonts w:ascii="Cascadia Code" w:hAnsi="Cascadia Code"/>
                <w:color w:val="0B68B0"/>
                <w:sz w:val="17"/>
              </w:rPr>
              <w:t>PL_ASQL_ADLS_FULL_INGRESS</w:t>
            </w:r>
            <w:r>
              <w:rPr>
                <w:rFonts w:ascii="Segoe UI" w:hAnsi="Segoe UI"/>
                <w:color w:val="485670"/>
                <w:sz w:val="19"/>
              </w:rPr>
            </w:r>
          </w:p>
        </w:tc>
        <w:tc>
          <w:tcPr>
            <w:tcW w:type="dxa" w:w="1440"/>
          </w:tcPr>
          <w:p>
            <w:pPr>
              <w:spacing w:before="60" w:after="60"/>
            </w:pPr>
            <w:r>
              <w:rPr>
                <w:rFonts w:ascii="Segoe UI" w:hAnsi="Segoe UI"/>
                <w:color w:val="485670"/>
                <w:sz w:val="19"/>
              </w:rPr>
              <w:t>Azure SQL</w:t>
            </w:r>
          </w:p>
        </w:tc>
        <w:tc>
          <w:tcPr>
            <w:tcW w:type="dxa" w:w="1440"/>
          </w:tcPr>
          <w:p>
            <w:pPr>
              <w:spacing w:before="60" w:after="60"/>
            </w:pPr>
            <w:r>
              <w:rPr>
                <w:rFonts w:ascii="Segoe UI" w:hAnsi="Segoe UI"/>
                <w:color w:val="485670"/>
                <w:sz w:val="19"/>
              </w:rPr>
              <w:t>ADLS Gen2</w:t>
            </w:r>
          </w:p>
        </w:tc>
        <w:tc>
          <w:tcPr>
            <w:tcW w:type="dxa" w:w="1584"/>
          </w:tcPr>
          <w:p>
            <w:pPr>
              <w:spacing w:before="60" w:after="60"/>
            </w:pPr>
            <w:r>
              <w:rPr>
                <w:rFonts w:ascii="Segoe UI" w:hAnsi="Segoe UI"/>
                <w:color w:val="485670"/>
                <w:sz w:val="19"/>
              </w:rPr>
              <w:t>Full Refresh</w:t>
            </w:r>
          </w:p>
        </w:tc>
        <w:tc>
          <w:tcPr>
            <w:tcW w:type="dxa" w:w="3312"/>
          </w:tcPr>
          <w:p>
            <w:pPr>
              <w:spacing w:before="60" w:after="60"/>
            </w:pPr>
            <w:r>
              <w:rPr>
                <w:rFonts w:ascii="Segoe UI" w:hAnsi="Segoe UI"/>
                <w:color w:val="485670"/>
                <w:sz w:val="19"/>
              </w:rPr>
              <w:t>3 (CSV, Parquet, JSON)</w:t>
            </w:r>
          </w:p>
        </w:tc>
      </w:tr>
      <w:tr>
        <w:tc>
          <w:tcPr>
            <w:tcW w:type="dxa" w:w="3456"/>
          </w:tcPr>
          <w:p>
            <w:pPr>
              <w:spacing w:before="60" w:after="60"/>
            </w:pPr>
            <w:r>
              <w:rPr>
                <w:rFonts w:ascii="Segoe UI" w:hAnsi="Segoe UI"/>
                <w:color w:val="485670"/>
                <w:sz w:val="19"/>
              </w:rPr>
            </w:r>
            <w:r>
              <w:rPr>
                <w:rFonts w:ascii="Cascadia Code" w:hAnsi="Cascadia Code"/>
                <w:color w:val="0B68B0"/>
                <w:sz w:val="17"/>
              </w:rPr>
              <w:t>PL_ASQL_ADLS_INCREMENTAL_INGRESS</w:t>
            </w:r>
            <w:r>
              <w:rPr>
                <w:rFonts w:ascii="Segoe UI" w:hAnsi="Segoe UI"/>
                <w:color w:val="485670"/>
                <w:sz w:val="19"/>
              </w:rPr>
            </w:r>
          </w:p>
        </w:tc>
        <w:tc>
          <w:tcPr>
            <w:tcW w:type="dxa" w:w="1440"/>
          </w:tcPr>
          <w:p>
            <w:pPr>
              <w:spacing w:before="60" w:after="60"/>
            </w:pPr>
            <w:r>
              <w:rPr>
                <w:rFonts w:ascii="Segoe UI" w:hAnsi="Segoe UI"/>
                <w:color w:val="485670"/>
                <w:sz w:val="19"/>
              </w:rPr>
              <w:t>Azure SQL</w:t>
            </w:r>
          </w:p>
        </w:tc>
        <w:tc>
          <w:tcPr>
            <w:tcW w:type="dxa" w:w="1440"/>
          </w:tcPr>
          <w:p>
            <w:pPr>
              <w:spacing w:before="60" w:after="60"/>
            </w:pPr>
            <w:r>
              <w:rPr>
                <w:rFonts w:ascii="Segoe UI" w:hAnsi="Segoe UI"/>
                <w:color w:val="485670"/>
                <w:sz w:val="19"/>
              </w:rPr>
              <w:t>ADLS Gen2</w:t>
            </w:r>
          </w:p>
        </w:tc>
        <w:tc>
          <w:tcPr>
            <w:tcW w:type="dxa" w:w="1584"/>
          </w:tcPr>
          <w:p>
            <w:pPr>
              <w:spacing w:before="60" w:after="60"/>
            </w:pPr>
            <w:r>
              <w:rPr>
                <w:rFonts w:ascii="Segoe UI" w:hAnsi="Segoe UI"/>
                <w:color w:val="485670"/>
                <w:sz w:val="19"/>
              </w:rPr>
              <w:t>Incremental</w:t>
            </w:r>
          </w:p>
        </w:tc>
        <w:tc>
          <w:tcPr>
            <w:tcW w:type="dxa" w:w="3312"/>
          </w:tcPr>
          <w:p>
            <w:pPr>
              <w:spacing w:before="60" w:after="60"/>
            </w:pPr>
            <w:r>
              <w:rPr>
                <w:rFonts w:ascii="Segoe UI" w:hAnsi="Segoe UI"/>
                <w:color w:val="485670"/>
                <w:sz w:val="19"/>
              </w:rPr>
              <w:t>3 — 5 activities each (Validate + Fail or Copy + Check + Update)</w:t>
            </w:r>
          </w:p>
        </w:tc>
      </w:tr>
      <w:tr>
        <w:tc>
          <w:tcPr>
            <w:tcW w:type="dxa" w:w="3456"/>
          </w:tcPr>
          <w:p>
            <w:pPr>
              <w:spacing w:before="60" w:after="60"/>
            </w:pPr>
            <w:r>
              <w:rPr>
                <w:rFonts w:ascii="Segoe UI" w:hAnsi="Segoe UI"/>
                <w:color w:val="485670"/>
                <w:sz w:val="19"/>
              </w:rPr>
            </w:r>
            <w:r>
              <w:rPr>
                <w:rFonts w:ascii="Cascadia Code" w:hAnsi="Cascadia Code"/>
                <w:color w:val="0B68B0"/>
                <w:sz w:val="17"/>
              </w:rPr>
              <w:t>PL_ADLS_ADLS_FULL_INGRESS</w:t>
            </w:r>
            <w:r>
              <w:rPr>
                <w:rFonts w:ascii="Segoe UI" w:hAnsi="Segoe UI"/>
                <w:color w:val="485670"/>
                <w:sz w:val="19"/>
              </w:rPr>
            </w:r>
          </w:p>
        </w:tc>
        <w:tc>
          <w:tcPr>
            <w:tcW w:type="dxa" w:w="1440"/>
          </w:tcPr>
          <w:p>
            <w:pPr>
              <w:spacing w:before="60" w:after="60"/>
            </w:pPr>
            <w:r>
              <w:rPr>
                <w:rFonts w:ascii="Segoe UI" w:hAnsi="Segoe UI"/>
                <w:color w:val="485670"/>
                <w:sz w:val="19"/>
              </w:rPr>
              <w:t>ADLS Gen2</w:t>
            </w:r>
          </w:p>
        </w:tc>
        <w:tc>
          <w:tcPr>
            <w:tcW w:type="dxa" w:w="1440"/>
          </w:tcPr>
          <w:p>
            <w:pPr>
              <w:spacing w:before="60" w:after="60"/>
            </w:pPr>
            <w:r>
              <w:rPr>
                <w:rFonts w:ascii="Segoe UI" w:hAnsi="Segoe UI"/>
                <w:color w:val="485670"/>
                <w:sz w:val="19"/>
              </w:rPr>
              <w:t>ADLS Gen2</w:t>
            </w:r>
          </w:p>
        </w:tc>
        <w:tc>
          <w:tcPr>
            <w:tcW w:type="dxa" w:w="1584"/>
          </w:tcPr>
          <w:p>
            <w:pPr>
              <w:spacing w:before="60" w:after="60"/>
            </w:pPr>
            <w:r>
              <w:rPr>
                <w:rFonts w:ascii="Segoe UI" w:hAnsi="Segoe UI"/>
                <w:color w:val="485670"/>
                <w:sz w:val="19"/>
              </w:rPr>
              <w:t>Full Refresh</w:t>
            </w:r>
          </w:p>
        </w:tc>
        <w:tc>
          <w:tcPr>
            <w:tcW w:type="dxa" w:w="3312"/>
          </w:tcPr>
          <w:p>
            <w:pPr>
              <w:spacing w:before="60" w:after="60"/>
            </w:pPr>
            <w:r>
              <w:rPr>
                <w:rFonts w:ascii="Segoe UI" w:hAnsi="Segoe UI"/>
                <w:color w:val="485670"/>
                <w:sz w:val="19"/>
              </w:rPr>
              <w:t>28 — 1 Copy each</w:t>
            </w:r>
          </w:p>
        </w:tc>
      </w:tr>
      <w:tr>
        <w:tc>
          <w:tcPr>
            <w:tcW w:type="dxa" w:w="3456"/>
          </w:tcPr>
          <w:p>
            <w:pPr>
              <w:spacing w:before="60" w:after="60"/>
            </w:pPr>
            <w:r>
              <w:rPr>
                <w:rFonts w:ascii="Segoe UI" w:hAnsi="Segoe UI"/>
                <w:color w:val="485670"/>
                <w:sz w:val="19"/>
              </w:rPr>
            </w:r>
            <w:r>
              <w:rPr>
                <w:rFonts w:ascii="Cascadia Code" w:hAnsi="Cascadia Code"/>
                <w:color w:val="0B68B0"/>
                <w:sz w:val="17"/>
              </w:rPr>
              <w:t>PL_ADLS_ADLS_INCREMENTAL_INGRESS</w:t>
            </w:r>
            <w:r>
              <w:rPr>
                <w:rFonts w:ascii="Segoe UI" w:hAnsi="Segoe UI"/>
                <w:color w:val="485670"/>
                <w:sz w:val="19"/>
              </w:rPr>
            </w:r>
          </w:p>
        </w:tc>
        <w:tc>
          <w:tcPr>
            <w:tcW w:type="dxa" w:w="1440"/>
          </w:tcPr>
          <w:p>
            <w:pPr>
              <w:spacing w:before="60" w:after="60"/>
            </w:pPr>
            <w:r>
              <w:rPr>
                <w:rFonts w:ascii="Segoe UI" w:hAnsi="Segoe UI"/>
                <w:color w:val="485670"/>
                <w:sz w:val="19"/>
              </w:rPr>
              <w:t>ADLS Gen2</w:t>
            </w:r>
          </w:p>
        </w:tc>
        <w:tc>
          <w:tcPr>
            <w:tcW w:type="dxa" w:w="1440"/>
          </w:tcPr>
          <w:p>
            <w:pPr>
              <w:spacing w:before="60" w:after="60"/>
            </w:pPr>
            <w:r>
              <w:rPr>
                <w:rFonts w:ascii="Segoe UI" w:hAnsi="Segoe UI"/>
                <w:color w:val="485670"/>
                <w:sz w:val="19"/>
              </w:rPr>
              <w:t>ADLS Gen2</w:t>
            </w:r>
          </w:p>
        </w:tc>
        <w:tc>
          <w:tcPr>
            <w:tcW w:type="dxa" w:w="1584"/>
          </w:tcPr>
          <w:p>
            <w:pPr>
              <w:spacing w:before="60" w:after="60"/>
            </w:pPr>
            <w:r>
              <w:rPr>
                <w:rFonts w:ascii="Segoe UI" w:hAnsi="Segoe UI"/>
                <w:color w:val="485670"/>
                <w:sz w:val="19"/>
              </w:rPr>
              <w:t>Incremental</w:t>
            </w:r>
          </w:p>
        </w:tc>
        <w:tc>
          <w:tcPr>
            <w:tcW w:type="dxa" w:w="3312"/>
          </w:tcPr>
          <w:p>
            <w:pPr>
              <w:spacing w:before="60" w:after="60"/>
            </w:pPr>
            <w:r>
              <w:rPr>
                <w:rFonts w:ascii="Segoe UI" w:hAnsi="Segoe UI"/>
                <w:color w:val="485670"/>
                <w:sz w:val="19"/>
              </w:rPr>
              <w:t>28 — 9 original (5 activities), 19 compressed/binary (3 activities); 105 total</w:t>
            </w:r>
          </w:p>
        </w:tc>
      </w:tr>
    </w:tbl>
    <w:p/>
    <w:p>
      <w:pPr>
        <w:spacing w:before="360" w:after="120"/>
        <w:pBdr>
          <w:bottom w:val="single" w:sz="4" w:space="3" w:color="E3EFF9"/>
        </w:pBdr>
      </w:pPr>
      <w:r>
        <w:rPr>
          <w:rFonts w:ascii="Segoe UI Semibold" w:hAnsi="Segoe UI Semibold"/>
          <w:b/>
          <w:color w:val="1B2238"/>
          <w:sz w:val="26"/>
        </w:rPr>
        <w:t>ADLS Pipeline Switch Cases (28 total)</w:t>
      </w:r>
    </w:p>
    <w:tbl>
      <w:tblPr>
        <w:tblStyle w:val="TableGrid"/>
        <w:tblW w:type="auto" w:w="0"/>
        <w:jc w:val="left"/>
        <w:tblLook w:firstColumn="1" w:firstRow="1" w:lastColumn="0" w:lastRow="0" w:noHBand="0" w:noVBand="1" w:val="04A0"/>
      </w:tblPr>
      <w:tblGrid>
        <w:gridCol w:w="2196"/>
        <w:gridCol w:w="2196"/>
        <w:gridCol w:w="2196"/>
        <w:gridCol w:w="2196"/>
      </w:tblGrid>
      <w:tr>
        <w:tc>
          <w:tcPr>
            <w:tcW w:type="dxa" w:w="2592"/>
            <w:shd w:val="clear" w:color="auto" w:fill="EBF0F8"/>
          </w:tcPr>
          <w:p>
            <w:pPr>
              <w:spacing w:before="60" w:after="60"/>
            </w:pPr>
            <w:r>
              <w:rPr>
                <w:rFonts w:ascii="Segoe UI" w:hAnsi="Segoe UI"/>
                <w:b/>
                <w:color w:val="6A788F"/>
                <w:sz w:val="15"/>
              </w:rPr>
              <w:t>SOURCE FORMAT</w:t>
            </w:r>
          </w:p>
        </w:tc>
        <w:tc>
          <w:tcPr>
            <w:tcW w:type="dxa" w:w="2304"/>
            <w:shd w:val="clear" w:color="auto" w:fill="EBF0F8"/>
          </w:tcPr>
          <w:p>
            <w:pPr>
              <w:spacing w:before="60" w:after="60"/>
            </w:pPr>
            <w:r>
              <w:rPr>
                <w:rFonts w:ascii="Segoe UI" w:hAnsi="Segoe UI"/>
                <w:b/>
                <w:color w:val="6A788F"/>
                <w:sz w:val="15"/>
              </w:rPr>
              <w:t>TARGET FORMATS</w:t>
            </w:r>
          </w:p>
        </w:tc>
        <w:tc>
          <w:tcPr>
            <w:tcW w:type="dxa" w:w="864"/>
            <w:shd w:val="clear" w:color="auto" w:fill="EBF0F8"/>
          </w:tcPr>
          <w:p>
            <w:pPr>
              <w:spacing w:before="60" w:after="60"/>
            </w:pPr>
            <w:r>
              <w:rPr>
                <w:rFonts w:ascii="Segoe UI" w:hAnsi="Segoe UI"/>
                <w:b/>
                <w:color w:val="6A788F"/>
                <w:sz w:val="15"/>
              </w:rPr>
              <w:t>CASES</w:t>
            </w:r>
          </w:p>
        </w:tc>
        <w:tc>
          <w:tcPr>
            <w:tcW w:type="dxa" w:w="4032"/>
            <w:shd w:val="clear" w:color="auto" w:fill="EBF0F8"/>
          </w:tcPr>
          <w:p>
            <w:pPr>
              <w:spacing w:before="60" w:after="60"/>
            </w:pPr>
            <w:r>
              <w:rPr>
                <w:rFonts w:ascii="Segoe UI" w:hAnsi="Segoe UI"/>
                <w:b/>
                <w:color w:val="6A788F"/>
                <w:sz w:val="15"/>
              </w:rPr>
              <w:t>SOURCE DATASET</w:t>
            </w:r>
          </w:p>
        </w:tc>
      </w:tr>
      <w:tr>
        <w:tc>
          <w:tcPr>
            <w:tcW w:type="dxa" w:w="2592"/>
          </w:tcPr>
          <w:p>
            <w:pPr>
              <w:spacing w:before="60" w:after="60"/>
            </w:pPr>
            <w:r>
              <w:rPr>
                <w:rFonts w:ascii="Segoe UI" w:hAnsi="Segoe UI"/>
                <w:color w:val="485670"/>
                <w:sz w:val="19"/>
              </w:rPr>
              <w:t>CSV (uncompressed)</w:t>
            </w:r>
          </w:p>
        </w:tc>
        <w:tc>
          <w:tcPr>
            <w:tcW w:type="dxa" w:w="2304"/>
          </w:tcPr>
          <w:p>
            <w:pPr>
              <w:spacing w:before="60" w:after="60"/>
            </w:pPr>
            <w:r>
              <w:rPr>
                <w:rFonts w:ascii="Segoe UI" w:hAnsi="Segoe UI"/>
                <w:color w:val="485670"/>
                <w:sz w:val="19"/>
              </w:rPr>
              <w:t>CSV, Parquet, JSON</w:t>
            </w:r>
          </w:p>
        </w:tc>
        <w:tc>
          <w:tcPr>
            <w:tcW w:type="dxa" w:w="864"/>
          </w:tcPr>
          <w:p>
            <w:pPr>
              <w:spacing w:before="60" w:after="60"/>
            </w:pPr>
            <w:r>
              <w:rPr>
                <w:rFonts w:ascii="Segoe UI" w:hAnsi="Segoe UI"/>
                <w:color w:val="485670"/>
                <w:sz w:val="19"/>
              </w:rPr>
              <w:t>3</w:t>
            </w:r>
          </w:p>
        </w:tc>
        <w:tc>
          <w:tcPr>
            <w:tcW w:type="dxa" w:w="4032"/>
          </w:tcPr>
          <w:p>
            <w:pPr>
              <w:spacing w:before="60" w:after="60"/>
            </w:pPr>
            <w:r>
              <w:rPr>
                <w:rFonts w:ascii="Segoe UI" w:hAnsi="Segoe UI"/>
                <w:color w:val="485670"/>
                <w:sz w:val="19"/>
              </w:rPr>
            </w:r>
            <w:r>
              <w:rPr>
                <w:rFonts w:ascii="Cascadia Code" w:hAnsi="Cascadia Code"/>
                <w:color w:val="0B68B0"/>
                <w:sz w:val="17"/>
              </w:rPr>
              <w:t>DS_ADLS_CSV</w:t>
            </w:r>
            <w:r>
              <w:rPr>
                <w:rFonts w:ascii="Segoe UI" w:hAnsi="Segoe UI"/>
                <w:color w:val="485670"/>
                <w:sz w:val="19"/>
              </w:rPr>
            </w:r>
          </w:p>
        </w:tc>
      </w:tr>
      <w:tr>
        <w:tc>
          <w:tcPr>
            <w:tcW w:type="dxa" w:w="2592"/>
          </w:tcPr>
          <w:p>
            <w:pPr>
              <w:spacing w:before="60" w:after="60"/>
            </w:pPr>
            <w:r>
              <w:rPr>
                <w:rFonts w:ascii="Segoe UI" w:hAnsi="Segoe UI"/>
                <w:color w:val="485670"/>
                <w:sz w:val="19"/>
              </w:rPr>
              <w:t>Parquet (uncompressed)</w:t>
            </w:r>
          </w:p>
        </w:tc>
        <w:tc>
          <w:tcPr>
            <w:tcW w:type="dxa" w:w="2304"/>
          </w:tcPr>
          <w:p>
            <w:pPr>
              <w:spacing w:before="60" w:after="60"/>
            </w:pPr>
            <w:r>
              <w:rPr>
                <w:rFonts w:ascii="Segoe UI" w:hAnsi="Segoe UI"/>
                <w:color w:val="485670"/>
                <w:sz w:val="19"/>
              </w:rPr>
              <w:t>CSV, Parquet, JSON</w:t>
            </w:r>
          </w:p>
        </w:tc>
        <w:tc>
          <w:tcPr>
            <w:tcW w:type="dxa" w:w="864"/>
          </w:tcPr>
          <w:p>
            <w:pPr>
              <w:spacing w:before="60" w:after="60"/>
            </w:pPr>
            <w:r>
              <w:rPr>
                <w:rFonts w:ascii="Segoe UI" w:hAnsi="Segoe UI"/>
                <w:color w:val="485670"/>
                <w:sz w:val="19"/>
              </w:rPr>
              <w:t>3</w:t>
            </w:r>
          </w:p>
        </w:tc>
        <w:tc>
          <w:tcPr>
            <w:tcW w:type="dxa" w:w="4032"/>
          </w:tcPr>
          <w:p>
            <w:pPr>
              <w:spacing w:before="60" w:after="60"/>
            </w:pPr>
            <w:r>
              <w:rPr>
                <w:rFonts w:ascii="Segoe UI" w:hAnsi="Segoe UI"/>
                <w:color w:val="485670"/>
                <w:sz w:val="19"/>
              </w:rPr>
            </w:r>
            <w:r>
              <w:rPr>
                <w:rFonts w:ascii="Cascadia Code" w:hAnsi="Cascadia Code"/>
                <w:color w:val="0B68B0"/>
                <w:sz w:val="17"/>
              </w:rPr>
              <w:t>DS_ADLS_PARQUET</w:t>
            </w:r>
            <w:r>
              <w:rPr>
                <w:rFonts w:ascii="Segoe UI" w:hAnsi="Segoe UI"/>
                <w:color w:val="485670"/>
                <w:sz w:val="19"/>
              </w:rPr>
            </w:r>
          </w:p>
        </w:tc>
      </w:tr>
      <w:tr>
        <w:tc>
          <w:tcPr>
            <w:tcW w:type="dxa" w:w="2592"/>
          </w:tcPr>
          <w:p>
            <w:pPr>
              <w:spacing w:before="60" w:after="60"/>
            </w:pPr>
            <w:r>
              <w:rPr>
                <w:rFonts w:ascii="Segoe UI" w:hAnsi="Segoe UI"/>
                <w:color w:val="485670"/>
                <w:sz w:val="19"/>
              </w:rPr>
              <w:t>JSON (uncompressed)</w:t>
            </w:r>
          </w:p>
        </w:tc>
        <w:tc>
          <w:tcPr>
            <w:tcW w:type="dxa" w:w="2304"/>
          </w:tcPr>
          <w:p>
            <w:pPr>
              <w:spacing w:before="60" w:after="60"/>
            </w:pPr>
            <w:r>
              <w:rPr>
                <w:rFonts w:ascii="Segoe UI" w:hAnsi="Segoe UI"/>
                <w:color w:val="485670"/>
                <w:sz w:val="19"/>
              </w:rPr>
              <w:t>CSV, Parquet, JSON</w:t>
            </w:r>
          </w:p>
        </w:tc>
        <w:tc>
          <w:tcPr>
            <w:tcW w:type="dxa" w:w="864"/>
          </w:tcPr>
          <w:p>
            <w:pPr>
              <w:spacing w:before="60" w:after="60"/>
            </w:pPr>
            <w:r>
              <w:rPr>
                <w:rFonts w:ascii="Segoe UI" w:hAnsi="Segoe UI"/>
                <w:color w:val="485670"/>
                <w:sz w:val="19"/>
              </w:rPr>
              <w:t>3</w:t>
            </w:r>
          </w:p>
        </w:tc>
        <w:tc>
          <w:tcPr>
            <w:tcW w:type="dxa" w:w="4032"/>
          </w:tcPr>
          <w:p>
            <w:pPr>
              <w:spacing w:before="60" w:after="60"/>
            </w:pPr>
            <w:r>
              <w:rPr>
                <w:rFonts w:ascii="Segoe UI" w:hAnsi="Segoe UI"/>
                <w:color w:val="485670"/>
                <w:sz w:val="19"/>
              </w:rPr>
            </w:r>
            <w:r>
              <w:rPr>
                <w:rFonts w:ascii="Cascadia Code" w:hAnsi="Cascadia Code"/>
                <w:color w:val="0B68B0"/>
                <w:sz w:val="17"/>
              </w:rPr>
              <w:t>DS_ADLS_JSON</w:t>
            </w:r>
            <w:r>
              <w:rPr>
                <w:rFonts w:ascii="Segoe UI" w:hAnsi="Segoe UI"/>
                <w:color w:val="485670"/>
                <w:sz w:val="19"/>
              </w:rPr>
            </w:r>
          </w:p>
        </w:tc>
      </w:tr>
      <w:tr>
        <w:tc>
          <w:tcPr>
            <w:tcW w:type="dxa" w:w="2592"/>
          </w:tcPr>
          <w:p>
            <w:pPr>
              <w:spacing w:before="60" w:after="60"/>
            </w:pPr>
            <w:r>
              <w:rPr>
                <w:rFonts w:ascii="Segoe UI" w:hAnsi="Segoe UI"/>
                <w:color w:val="485670"/>
                <w:sz w:val="19"/>
              </w:rPr>
              <w:t>GZIP-compressed CSV</w:t>
            </w:r>
          </w:p>
        </w:tc>
        <w:tc>
          <w:tcPr>
            <w:tcW w:type="dxa" w:w="2304"/>
          </w:tcPr>
          <w:p>
            <w:pPr>
              <w:spacing w:before="60" w:after="60"/>
            </w:pPr>
            <w:r>
              <w:rPr>
                <w:rFonts w:ascii="Segoe UI" w:hAnsi="Segoe UI"/>
                <w:color w:val="485670"/>
                <w:sz w:val="19"/>
              </w:rPr>
              <w:t>CSV, Parquet, JSON</w:t>
            </w:r>
          </w:p>
        </w:tc>
        <w:tc>
          <w:tcPr>
            <w:tcW w:type="dxa" w:w="864"/>
          </w:tcPr>
          <w:p>
            <w:pPr>
              <w:spacing w:before="60" w:after="60"/>
            </w:pPr>
            <w:r>
              <w:rPr>
                <w:rFonts w:ascii="Segoe UI" w:hAnsi="Segoe UI"/>
                <w:color w:val="485670"/>
                <w:sz w:val="19"/>
              </w:rPr>
              <w:t>3</w:t>
            </w:r>
          </w:p>
        </w:tc>
        <w:tc>
          <w:tcPr>
            <w:tcW w:type="dxa" w:w="4032"/>
          </w:tcPr>
          <w:p>
            <w:pPr>
              <w:spacing w:before="60" w:after="60"/>
            </w:pPr>
            <w:r>
              <w:rPr>
                <w:rFonts w:ascii="Segoe UI" w:hAnsi="Segoe UI"/>
                <w:color w:val="485670"/>
                <w:sz w:val="19"/>
              </w:rPr>
            </w:r>
            <w:r>
              <w:rPr>
                <w:rFonts w:ascii="Cascadia Code" w:hAnsi="Cascadia Code"/>
                <w:color w:val="0B68B0"/>
                <w:sz w:val="17"/>
              </w:rPr>
              <w:t>DS_ADLS_GZIP_CSV</w:t>
            </w:r>
            <w:r>
              <w:rPr>
                <w:rFonts w:ascii="Segoe UI" w:hAnsi="Segoe UI"/>
                <w:color w:val="485670"/>
                <w:sz w:val="19"/>
              </w:rPr>
            </w:r>
          </w:p>
        </w:tc>
      </w:tr>
      <w:tr>
        <w:tc>
          <w:tcPr>
            <w:tcW w:type="dxa" w:w="2592"/>
          </w:tcPr>
          <w:p>
            <w:pPr>
              <w:spacing w:before="60" w:after="60"/>
            </w:pPr>
            <w:r>
              <w:rPr>
                <w:rFonts w:ascii="Segoe UI" w:hAnsi="Segoe UI"/>
                <w:color w:val="485670"/>
                <w:sz w:val="19"/>
              </w:rPr>
              <w:t>ZIP-compressed CSV</w:t>
            </w:r>
          </w:p>
        </w:tc>
        <w:tc>
          <w:tcPr>
            <w:tcW w:type="dxa" w:w="2304"/>
          </w:tcPr>
          <w:p>
            <w:pPr>
              <w:spacing w:before="60" w:after="60"/>
            </w:pPr>
            <w:r>
              <w:rPr>
                <w:rFonts w:ascii="Segoe UI" w:hAnsi="Segoe UI"/>
                <w:color w:val="485670"/>
                <w:sz w:val="19"/>
              </w:rPr>
              <w:t>CSV, Parquet, JSON</w:t>
            </w:r>
          </w:p>
        </w:tc>
        <w:tc>
          <w:tcPr>
            <w:tcW w:type="dxa" w:w="864"/>
          </w:tcPr>
          <w:p>
            <w:pPr>
              <w:spacing w:before="60" w:after="60"/>
            </w:pPr>
            <w:r>
              <w:rPr>
                <w:rFonts w:ascii="Segoe UI" w:hAnsi="Segoe UI"/>
                <w:color w:val="485670"/>
                <w:sz w:val="19"/>
              </w:rPr>
              <w:t>3</w:t>
            </w:r>
          </w:p>
        </w:tc>
        <w:tc>
          <w:tcPr>
            <w:tcW w:type="dxa" w:w="4032"/>
          </w:tcPr>
          <w:p>
            <w:pPr>
              <w:spacing w:before="60" w:after="60"/>
            </w:pPr>
            <w:r>
              <w:rPr>
                <w:rFonts w:ascii="Segoe UI" w:hAnsi="Segoe UI"/>
                <w:color w:val="485670"/>
                <w:sz w:val="19"/>
              </w:rPr>
            </w:r>
            <w:r>
              <w:rPr>
                <w:rFonts w:ascii="Cascadia Code" w:hAnsi="Cascadia Code"/>
                <w:color w:val="0B68B0"/>
                <w:sz w:val="17"/>
              </w:rPr>
              <w:t>DS_ADLS_ZIP_CSV</w:t>
            </w:r>
            <w:r>
              <w:rPr>
                <w:rFonts w:ascii="Segoe UI" w:hAnsi="Segoe UI"/>
                <w:color w:val="485670"/>
                <w:sz w:val="19"/>
              </w:rPr>
            </w:r>
          </w:p>
        </w:tc>
      </w:tr>
      <w:tr>
        <w:tc>
          <w:tcPr>
            <w:tcW w:type="dxa" w:w="2592"/>
          </w:tcPr>
          <w:p>
            <w:pPr>
              <w:spacing w:before="60" w:after="60"/>
            </w:pPr>
            <w:r>
              <w:rPr>
                <w:rFonts w:ascii="Segoe UI" w:hAnsi="Segoe UI"/>
                <w:color w:val="485670"/>
                <w:sz w:val="19"/>
              </w:rPr>
              <w:t>TarGzip CSV</w:t>
            </w:r>
          </w:p>
        </w:tc>
        <w:tc>
          <w:tcPr>
            <w:tcW w:type="dxa" w:w="2304"/>
          </w:tcPr>
          <w:p>
            <w:pPr>
              <w:spacing w:before="60" w:after="60"/>
            </w:pPr>
            <w:r>
              <w:rPr>
                <w:rFonts w:ascii="Segoe UI" w:hAnsi="Segoe UI"/>
                <w:color w:val="485670"/>
                <w:sz w:val="19"/>
              </w:rPr>
              <w:t>CSV, Parquet, JSON</w:t>
            </w:r>
          </w:p>
        </w:tc>
        <w:tc>
          <w:tcPr>
            <w:tcW w:type="dxa" w:w="864"/>
          </w:tcPr>
          <w:p>
            <w:pPr>
              <w:spacing w:before="60" w:after="60"/>
            </w:pPr>
            <w:r>
              <w:rPr>
                <w:rFonts w:ascii="Segoe UI" w:hAnsi="Segoe UI"/>
                <w:color w:val="485670"/>
                <w:sz w:val="19"/>
              </w:rPr>
              <w:t>3</w:t>
            </w:r>
          </w:p>
        </w:tc>
        <w:tc>
          <w:tcPr>
            <w:tcW w:type="dxa" w:w="4032"/>
          </w:tcPr>
          <w:p>
            <w:pPr>
              <w:spacing w:before="60" w:after="60"/>
            </w:pPr>
            <w:r>
              <w:rPr>
                <w:rFonts w:ascii="Segoe UI" w:hAnsi="Segoe UI"/>
                <w:color w:val="485670"/>
                <w:sz w:val="19"/>
              </w:rPr>
            </w:r>
            <w:r>
              <w:rPr>
                <w:rFonts w:ascii="Cascadia Code" w:hAnsi="Cascadia Code"/>
                <w:color w:val="0B68B0"/>
                <w:sz w:val="17"/>
              </w:rPr>
              <w:t>DS_ADLS_TARGZIP_CSV</w:t>
            </w:r>
            <w:r>
              <w:rPr>
                <w:rFonts w:ascii="Segoe UI" w:hAnsi="Segoe UI"/>
                <w:color w:val="485670"/>
                <w:sz w:val="19"/>
              </w:rPr>
            </w:r>
          </w:p>
        </w:tc>
      </w:tr>
      <w:tr>
        <w:tc>
          <w:tcPr>
            <w:tcW w:type="dxa" w:w="2592"/>
          </w:tcPr>
          <w:p>
            <w:pPr>
              <w:spacing w:before="60" w:after="60"/>
            </w:pPr>
            <w:r>
              <w:rPr>
                <w:rFonts w:ascii="Segoe UI" w:hAnsi="Segoe UI"/>
                <w:color w:val="485670"/>
                <w:sz w:val="19"/>
              </w:rPr>
              <w:t>GZIP-compressed JSON</w:t>
            </w:r>
          </w:p>
        </w:tc>
        <w:tc>
          <w:tcPr>
            <w:tcW w:type="dxa" w:w="2304"/>
          </w:tcPr>
          <w:p>
            <w:pPr>
              <w:spacing w:before="60" w:after="60"/>
            </w:pPr>
            <w:r>
              <w:rPr>
                <w:rFonts w:ascii="Segoe UI" w:hAnsi="Segoe UI"/>
                <w:color w:val="485670"/>
                <w:sz w:val="19"/>
              </w:rPr>
              <w:t>CSV, Parquet, JSON</w:t>
            </w:r>
          </w:p>
        </w:tc>
        <w:tc>
          <w:tcPr>
            <w:tcW w:type="dxa" w:w="864"/>
          </w:tcPr>
          <w:p>
            <w:pPr>
              <w:spacing w:before="60" w:after="60"/>
            </w:pPr>
            <w:r>
              <w:rPr>
                <w:rFonts w:ascii="Segoe UI" w:hAnsi="Segoe UI"/>
                <w:color w:val="485670"/>
                <w:sz w:val="19"/>
              </w:rPr>
              <w:t>3</w:t>
            </w:r>
          </w:p>
        </w:tc>
        <w:tc>
          <w:tcPr>
            <w:tcW w:type="dxa" w:w="4032"/>
          </w:tcPr>
          <w:p>
            <w:pPr>
              <w:spacing w:before="60" w:after="60"/>
            </w:pPr>
            <w:r>
              <w:rPr>
                <w:rFonts w:ascii="Segoe UI" w:hAnsi="Segoe UI"/>
                <w:color w:val="485670"/>
                <w:sz w:val="19"/>
              </w:rPr>
            </w:r>
            <w:r>
              <w:rPr>
                <w:rFonts w:ascii="Cascadia Code" w:hAnsi="Cascadia Code"/>
                <w:color w:val="0B68B0"/>
                <w:sz w:val="17"/>
              </w:rPr>
              <w:t>DS_ADLS_GZIP_JSON</w:t>
            </w:r>
            <w:r>
              <w:rPr>
                <w:rFonts w:ascii="Segoe UI" w:hAnsi="Segoe UI"/>
                <w:color w:val="485670"/>
                <w:sz w:val="19"/>
              </w:rPr>
            </w:r>
          </w:p>
        </w:tc>
      </w:tr>
      <w:tr>
        <w:tc>
          <w:tcPr>
            <w:tcW w:type="dxa" w:w="2592"/>
          </w:tcPr>
          <w:p>
            <w:pPr>
              <w:spacing w:before="60" w:after="60"/>
            </w:pPr>
            <w:r>
              <w:rPr>
                <w:rFonts w:ascii="Segoe UI" w:hAnsi="Segoe UI"/>
                <w:color w:val="485670"/>
                <w:sz w:val="19"/>
              </w:rPr>
              <w:t>ZIP-compressed JSON</w:t>
            </w:r>
          </w:p>
        </w:tc>
        <w:tc>
          <w:tcPr>
            <w:tcW w:type="dxa" w:w="2304"/>
          </w:tcPr>
          <w:p>
            <w:pPr>
              <w:spacing w:before="60" w:after="60"/>
            </w:pPr>
            <w:r>
              <w:rPr>
                <w:rFonts w:ascii="Segoe UI" w:hAnsi="Segoe UI"/>
                <w:color w:val="485670"/>
                <w:sz w:val="19"/>
              </w:rPr>
              <w:t>CSV, Parquet, JSON</w:t>
            </w:r>
          </w:p>
        </w:tc>
        <w:tc>
          <w:tcPr>
            <w:tcW w:type="dxa" w:w="864"/>
          </w:tcPr>
          <w:p>
            <w:pPr>
              <w:spacing w:before="60" w:after="60"/>
            </w:pPr>
            <w:r>
              <w:rPr>
                <w:rFonts w:ascii="Segoe UI" w:hAnsi="Segoe UI"/>
                <w:color w:val="485670"/>
                <w:sz w:val="19"/>
              </w:rPr>
              <w:t>3</w:t>
            </w:r>
          </w:p>
        </w:tc>
        <w:tc>
          <w:tcPr>
            <w:tcW w:type="dxa" w:w="4032"/>
          </w:tcPr>
          <w:p>
            <w:pPr>
              <w:spacing w:before="60" w:after="60"/>
            </w:pPr>
            <w:r>
              <w:rPr>
                <w:rFonts w:ascii="Segoe UI" w:hAnsi="Segoe UI"/>
                <w:color w:val="485670"/>
                <w:sz w:val="19"/>
              </w:rPr>
            </w:r>
            <w:r>
              <w:rPr>
                <w:rFonts w:ascii="Cascadia Code" w:hAnsi="Cascadia Code"/>
                <w:color w:val="0B68B0"/>
                <w:sz w:val="17"/>
              </w:rPr>
              <w:t>DS_ADLS_ZIP_JSON</w:t>
            </w:r>
            <w:r>
              <w:rPr>
                <w:rFonts w:ascii="Segoe UI" w:hAnsi="Segoe UI"/>
                <w:color w:val="485670"/>
                <w:sz w:val="19"/>
              </w:rPr>
            </w:r>
          </w:p>
        </w:tc>
      </w:tr>
      <w:tr>
        <w:tc>
          <w:tcPr>
            <w:tcW w:type="dxa" w:w="2592"/>
          </w:tcPr>
          <w:p>
            <w:pPr>
              <w:spacing w:before="60" w:after="60"/>
            </w:pPr>
            <w:r>
              <w:rPr>
                <w:rFonts w:ascii="Segoe UI" w:hAnsi="Segoe UI"/>
                <w:color w:val="485670"/>
                <w:sz w:val="19"/>
              </w:rPr>
              <w:t>TarGzip JSON</w:t>
            </w:r>
          </w:p>
        </w:tc>
        <w:tc>
          <w:tcPr>
            <w:tcW w:type="dxa" w:w="2304"/>
          </w:tcPr>
          <w:p>
            <w:pPr>
              <w:spacing w:before="60" w:after="60"/>
            </w:pPr>
            <w:r>
              <w:rPr>
                <w:rFonts w:ascii="Segoe UI" w:hAnsi="Segoe UI"/>
                <w:color w:val="485670"/>
                <w:sz w:val="19"/>
              </w:rPr>
              <w:t>CSV, Parquet, JSON</w:t>
            </w:r>
          </w:p>
        </w:tc>
        <w:tc>
          <w:tcPr>
            <w:tcW w:type="dxa" w:w="864"/>
          </w:tcPr>
          <w:p>
            <w:pPr>
              <w:spacing w:before="60" w:after="60"/>
            </w:pPr>
            <w:r>
              <w:rPr>
                <w:rFonts w:ascii="Segoe UI" w:hAnsi="Segoe UI"/>
                <w:color w:val="485670"/>
                <w:sz w:val="19"/>
              </w:rPr>
              <w:t>3</w:t>
            </w:r>
          </w:p>
        </w:tc>
        <w:tc>
          <w:tcPr>
            <w:tcW w:type="dxa" w:w="4032"/>
          </w:tcPr>
          <w:p>
            <w:pPr>
              <w:spacing w:before="60" w:after="60"/>
            </w:pPr>
            <w:r>
              <w:rPr>
                <w:rFonts w:ascii="Segoe UI" w:hAnsi="Segoe UI"/>
                <w:color w:val="485670"/>
                <w:sz w:val="19"/>
              </w:rPr>
            </w:r>
            <w:r>
              <w:rPr>
                <w:rFonts w:ascii="Cascadia Code" w:hAnsi="Cascadia Code"/>
                <w:color w:val="0B68B0"/>
                <w:sz w:val="17"/>
              </w:rPr>
              <w:t>DS_ADLS_TARGZIP_JSON</w:t>
            </w:r>
            <w:r>
              <w:rPr>
                <w:rFonts w:ascii="Segoe UI" w:hAnsi="Segoe UI"/>
                <w:color w:val="485670"/>
                <w:sz w:val="19"/>
              </w:rPr>
            </w:r>
          </w:p>
        </w:tc>
      </w:tr>
      <w:tr>
        <w:tc>
          <w:tcPr>
            <w:tcW w:type="dxa" w:w="2592"/>
          </w:tcPr>
          <w:p>
            <w:pPr>
              <w:spacing w:before="60" w:after="60"/>
            </w:pPr>
            <w:r>
              <w:rPr>
                <w:rFonts w:ascii="Segoe UI" w:hAnsi="Segoe UI"/>
                <w:color w:val="485670"/>
                <w:sz w:val="19"/>
              </w:rPr>
              <w:t>Binary (any)</w:t>
            </w:r>
          </w:p>
        </w:tc>
        <w:tc>
          <w:tcPr>
            <w:tcW w:type="dxa" w:w="2304"/>
          </w:tcPr>
          <w:p>
            <w:pPr>
              <w:spacing w:before="60" w:after="60"/>
            </w:pPr>
            <w:r>
              <w:rPr>
                <w:rFonts w:ascii="Segoe UI" w:hAnsi="Segoe UI"/>
                <w:color w:val="485670"/>
                <w:sz w:val="19"/>
              </w:rPr>
              <w:t>Binary</w:t>
            </w:r>
          </w:p>
        </w:tc>
        <w:tc>
          <w:tcPr>
            <w:tcW w:type="dxa" w:w="864"/>
          </w:tcPr>
          <w:p>
            <w:pPr>
              <w:spacing w:before="60" w:after="60"/>
            </w:pPr>
            <w:r>
              <w:rPr>
                <w:rFonts w:ascii="Segoe UI" w:hAnsi="Segoe UI"/>
                <w:color w:val="485670"/>
                <w:sz w:val="19"/>
              </w:rPr>
              <w:t>1</w:t>
            </w:r>
          </w:p>
        </w:tc>
        <w:tc>
          <w:tcPr>
            <w:tcW w:type="dxa" w:w="4032"/>
          </w:tcPr>
          <w:p>
            <w:pPr>
              <w:spacing w:before="60" w:after="60"/>
            </w:pPr>
            <w:r>
              <w:rPr>
                <w:rFonts w:ascii="Segoe UI" w:hAnsi="Segoe UI"/>
                <w:color w:val="485670"/>
                <w:sz w:val="19"/>
              </w:rPr>
            </w:r>
            <w:r>
              <w:rPr>
                <w:rFonts w:ascii="Cascadia Code" w:hAnsi="Cascadia Code"/>
                <w:color w:val="0B68B0"/>
                <w:sz w:val="17"/>
              </w:rPr>
              <w:t>DS_ADLS_BINARY</w:t>
            </w:r>
            <w:r>
              <w:rPr>
                <w:rFonts w:ascii="Segoe UI" w:hAnsi="Segoe UI"/>
                <w:color w:val="485670"/>
                <w:sz w:val="19"/>
              </w:rPr>
            </w:r>
          </w:p>
        </w:tc>
      </w:tr>
    </w:tbl>
    <w:p/>
    <w:tbl>
      <w:tblPr>
        <w:tblStyle w:val="TableGrid"/>
        <w:tblW w:type="auto" w:w="0"/>
        <w:jc w:val="left"/>
        <w:tblLook w:firstColumn="1" w:firstRow="1" w:lastColumn="0" w:lastRow="0" w:noHBand="0" w:noVBand="1" w:val="04A0"/>
      </w:tblPr>
      <w:tblGrid>
        <w:gridCol w:w="4392"/>
        <w:gridCol w:w="4392"/>
      </w:tblGrid>
      <w:tr>
        <w:tc>
          <w:tcPr>
            <w:tcW w:type="dxa" w:w="144"/>
            <w:shd w:val="clear" w:color="auto" w:fill="0B68B0"/>
          </w:tcPr>
          <w:p/>
        </w:tc>
        <w:tc>
          <w:tcPr>
            <w:tcW w:type="dxa" w:w="4392"/>
            <w:shd w:val="clear" w:color="auto" w:fill="E3EFF9"/>
          </w:tcPr>
          <w:p>
            <w:pPr>
              <w:spacing w:before="100" w:after="100"/>
            </w:pPr>
            <w:r>
              <w:rPr>
                <w:rFonts w:ascii="Segoe UI" w:hAnsi="Segoe UI"/>
                <w:color w:val="485670"/>
                <w:sz w:val="19"/>
              </w:rPr>
              <w:t>Compressed source design (Scenario A): Each compression type gets its own dedicated dataset with the compression codec baked in (e.g. compressionCodec: "gzip"). ADF decompresses transparently at read time. This approach leaves existing uncompressed datasets untouched and gives each format/compression variant a clean, unique identity in SwitchCaseRef routing.</w:t>
            </w:r>
          </w:p>
        </w:tc>
      </w:tr>
    </w:tbl>
    <w:p/>
    <w:p>
      <w:pPr>
        <w:spacing w:before="360" w:after="40"/>
      </w:pPr>
      <w:r>
        <w:rPr>
          <w:rFonts w:ascii="Segoe UI" w:hAnsi="Segoe UI"/>
          <w:b/>
          <w:color w:val="0B68B0"/>
          <w:sz w:val="15"/>
        </w:rPr>
        <w:t>07 — DATASETS &amp; CONFIGURATION</w:t>
      </w:r>
    </w:p>
    <w:p>
      <w:pPr>
        <w:spacing w:before="80" w:after="200"/>
        <w:pBdr>
          <w:bottom w:val="single" w:sz="8" w:space="4" w:color="E3EFF9"/>
        </w:pBdr>
      </w:pPr>
      <w:r>
        <w:rPr>
          <w:rFonts w:ascii="Segoe UI Semibold" w:hAnsi="Segoe UI Semibold"/>
          <w:b/>
          <w:color w:val="1B2238"/>
          <w:sz w:val="44"/>
        </w:rPr>
        <w:t>Datasets &amp; Global Parameters</w:t>
      </w:r>
    </w:p>
    <w:p>
      <w:pPr>
        <w:spacing w:before="360" w:after="120"/>
        <w:pBdr>
          <w:bottom w:val="single" w:sz="4" w:space="3" w:color="E3EFF9"/>
        </w:pBdr>
      </w:pPr>
      <w:r>
        <w:rPr>
          <w:rFonts w:ascii="Segoe UI Semibold" w:hAnsi="Segoe UI Semibold"/>
          <w:b/>
          <w:color w:val="1B2238"/>
          <w:sz w:val="26"/>
        </w:rPr>
        <w:t>Deployed ADF Datasets</w:t>
      </w:r>
    </w:p>
    <w:p>
      <w:pPr>
        <w:spacing w:after="100"/>
      </w:pPr>
      <w:r>
        <w:rPr>
          <w:rFonts w:ascii="Segoe UI" w:hAnsi="Segoe UI"/>
          <w:color w:val="485670"/>
          <w:sz w:val="21"/>
        </w:rPr>
        <w:t>All datasets use parameterized linked services — connection details are resolved from LinkedServiceConnectionString JSON in the metadata at runtime. No connection detail is hardcoded in any dataset definition.</w:t>
      </w:r>
    </w:p>
    <w:tbl>
      <w:tblPr>
        <w:tblStyle w:val="TableGrid"/>
        <w:tblW w:type="auto" w:w="0"/>
        <w:jc w:val="left"/>
        <w:tblLook w:firstColumn="1" w:firstRow="1" w:lastColumn="0" w:lastRow="0" w:noHBand="0" w:noVBand="1" w:val="04A0"/>
      </w:tblPr>
      <w:tblGrid>
        <w:gridCol w:w="1757"/>
        <w:gridCol w:w="1757"/>
        <w:gridCol w:w="1757"/>
        <w:gridCol w:w="1757"/>
        <w:gridCol w:w="1757"/>
      </w:tblGrid>
      <w:tr>
        <w:tc>
          <w:tcPr>
            <w:tcW w:type="dxa" w:w="2592"/>
            <w:shd w:val="clear" w:color="auto" w:fill="EBF0F8"/>
          </w:tcPr>
          <w:p>
            <w:pPr>
              <w:spacing w:before="60" w:after="60"/>
            </w:pPr>
            <w:r>
              <w:rPr>
                <w:rFonts w:ascii="Segoe UI" w:hAnsi="Segoe UI"/>
                <w:b/>
                <w:color w:val="6A788F"/>
                <w:sz w:val="15"/>
              </w:rPr>
              <w:t>DATASET</w:t>
            </w:r>
          </w:p>
        </w:tc>
        <w:tc>
          <w:tcPr>
            <w:tcW w:type="dxa" w:w="1872"/>
            <w:shd w:val="clear" w:color="auto" w:fill="EBF0F8"/>
          </w:tcPr>
          <w:p>
            <w:pPr>
              <w:spacing w:before="60" w:after="60"/>
            </w:pPr>
            <w:r>
              <w:rPr>
                <w:rFonts w:ascii="Segoe UI" w:hAnsi="Segoe UI"/>
                <w:b/>
                <w:color w:val="6A788F"/>
                <w:sz w:val="15"/>
              </w:rPr>
              <w:t>ADF TYPE</w:t>
            </w:r>
          </w:p>
        </w:tc>
        <w:tc>
          <w:tcPr>
            <w:tcW w:type="dxa" w:w="1440"/>
            <w:shd w:val="clear" w:color="auto" w:fill="EBF0F8"/>
          </w:tcPr>
          <w:p>
            <w:pPr>
              <w:spacing w:before="60" w:after="60"/>
            </w:pPr>
            <w:r>
              <w:rPr>
                <w:rFonts w:ascii="Segoe UI" w:hAnsi="Segoe UI"/>
                <w:b/>
                <w:color w:val="6A788F"/>
                <w:sz w:val="15"/>
              </w:rPr>
              <w:t>FORMAT</w:t>
            </w:r>
          </w:p>
        </w:tc>
        <w:tc>
          <w:tcPr>
            <w:tcW w:type="dxa" w:w="1872"/>
            <w:shd w:val="clear" w:color="auto" w:fill="EBF0F8"/>
          </w:tcPr>
          <w:p>
            <w:pPr>
              <w:spacing w:before="60" w:after="60"/>
            </w:pPr>
            <w:r>
              <w:rPr>
                <w:rFonts w:ascii="Segoe UI" w:hAnsi="Segoe UI"/>
                <w:b/>
                <w:color w:val="6A788F"/>
                <w:sz w:val="15"/>
              </w:rPr>
              <w:t>COMPRESSION</w:t>
            </w:r>
          </w:p>
        </w:tc>
        <w:tc>
          <w:tcPr>
            <w:tcW w:type="dxa" w:w="2016"/>
            <w:shd w:val="clear" w:color="auto" w:fill="EBF0F8"/>
          </w:tcPr>
          <w:p>
            <w:pPr>
              <w:spacing w:before="60" w:after="60"/>
            </w:pPr>
            <w:r>
              <w:rPr>
                <w:rFonts w:ascii="Segoe UI" w:hAnsi="Segoe UI"/>
                <w:b/>
                <w:color w:val="6A788F"/>
                <w:sz w:val="15"/>
              </w:rPr>
              <w:t>LINKED SERVICE</w:t>
            </w:r>
          </w:p>
        </w:tc>
      </w:tr>
      <w:tr>
        <w:tc>
          <w:tcPr>
            <w:tcW w:type="dxa" w:w="2592"/>
          </w:tcPr>
          <w:p>
            <w:pPr>
              <w:spacing w:before="60" w:after="60"/>
            </w:pPr>
            <w:r>
              <w:rPr>
                <w:rFonts w:ascii="Segoe UI" w:hAnsi="Segoe UI"/>
                <w:color w:val="485670"/>
                <w:sz w:val="19"/>
              </w:rPr>
            </w:r>
            <w:r>
              <w:rPr>
                <w:rFonts w:ascii="Cascadia Code" w:hAnsi="Cascadia Code"/>
                <w:color w:val="0B68B0"/>
                <w:sz w:val="17"/>
              </w:rPr>
              <w:t>DS_ASQL_TABLE</w:t>
            </w:r>
            <w:r>
              <w:rPr>
                <w:rFonts w:ascii="Segoe UI" w:hAnsi="Segoe UI"/>
                <w:color w:val="485670"/>
                <w:sz w:val="19"/>
              </w:rPr>
            </w:r>
          </w:p>
        </w:tc>
        <w:tc>
          <w:tcPr>
            <w:tcW w:type="dxa" w:w="1872"/>
          </w:tcPr>
          <w:p>
            <w:pPr>
              <w:spacing w:before="60" w:after="60"/>
            </w:pPr>
            <w:r>
              <w:rPr>
                <w:rFonts w:ascii="Segoe UI" w:hAnsi="Segoe UI"/>
                <w:color w:val="485670"/>
                <w:sz w:val="19"/>
              </w:rPr>
              <w:t>AzureSqlTable</w:t>
            </w:r>
          </w:p>
        </w:tc>
        <w:tc>
          <w:tcPr>
            <w:tcW w:type="dxa" w:w="1440"/>
          </w:tcPr>
          <w:p>
            <w:pPr>
              <w:spacing w:before="60" w:after="60"/>
            </w:pPr>
            <w:r>
              <w:rPr>
                <w:rFonts w:ascii="Segoe UI" w:hAnsi="Segoe UI"/>
                <w:color w:val="485670"/>
                <w:sz w:val="19"/>
              </w:rPr>
              <w:t>TABLE (no file format)</w:t>
            </w:r>
          </w:p>
        </w:tc>
        <w:tc>
          <w:tcPr>
            <w:tcW w:type="dxa" w:w="1872"/>
          </w:tcPr>
          <w:p>
            <w:pPr>
              <w:spacing w:before="60" w:after="60"/>
            </w:pPr>
            <w:r>
              <w:rPr>
                <w:rFonts w:ascii="Segoe UI" w:hAnsi="Segoe UI"/>
                <w:color w:val="485670"/>
                <w:sz w:val="19"/>
              </w:rPr>
              <w:t>-</w:t>
            </w:r>
          </w:p>
        </w:tc>
        <w:tc>
          <w:tcPr>
            <w:tcW w:type="dxa" w:w="2016"/>
          </w:tcPr>
          <w:p>
            <w:pPr>
              <w:spacing w:before="60" w:after="60"/>
            </w:pPr>
            <w:r>
              <w:rPr>
                <w:rFonts w:ascii="Segoe UI" w:hAnsi="Segoe UI"/>
                <w:color w:val="485670"/>
                <w:sz w:val="19"/>
              </w:rPr>
            </w:r>
            <w:r>
              <w:rPr>
                <w:rFonts w:ascii="Cascadia Code" w:hAnsi="Cascadia Code"/>
                <w:color w:val="0B68B0"/>
                <w:sz w:val="17"/>
              </w:rPr>
              <w:t>LS_ASQL_SAMI</w:t>
            </w:r>
            <w:r>
              <w:rPr>
                <w:rFonts w:ascii="Segoe UI" w:hAnsi="Segoe UI"/>
                <w:color w:val="485670"/>
                <w:sz w:val="19"/>
              </w:rPr>
            </w:r>
          </w:p>
        </w:tc>
      </w:tr>
      <w:tr>
        <w:tc>
          <w:tcPr>
            <w:tcW w:type="dxa" w:w="2592"/>
          </w:tcPr>
          <w:p>
            <w:pPr>
              <w:spacing w:before="60" w:after="60"/>
            </w:pPr>
            <w:r>
              <w:rPr>
                <w:rFonts w:ascii="Segoe UI" w:hAnsi="Segoe UI"/>
                <w:color w:val="485670"/>
                <w:sz w:val="19"/>
              </w:rPr>
            </w:r>
            <w:r>
              <w:rPr>
                <w:rFonts w:ascii="Cascadia Code" w:hAnsi="Cascadia Code"/>
                <w:color w:val="0B68B0"/>
                <w:sz w:val="17"/>
              </w:rPr>
              <w:t>DS_ADLS_CSV</w:t>
            </w:r>
            <w:r>
              <w:rPr>
                <w:rFonts w:ascii="Segoe UI" w:hAnsi="Segoe UI"/>
                <w:color w:val="485670"/>
                <w:sz w:val="19"/>
              </w:rPr>
            </w:r>
          </w:p>
        </w:tc>
        <w:tc>
          <w:tcPr>
            <w:tcW w:type="dxa" w:w="1872"/>
          </w:tcPr>
          <w:p>
            <w:pPr>
              <w:spacing w:before="60" w:after="60"/>
            </w:pPr>
            <w:r>
              <w:rPr>
                <w:rFonts w:ascii="Segoe UI" w:hAnsi="Segoe UI"/>
                <w:color w:val="485670"/>
                <w:sz w:val="19"/>
              </w:rPr>
              <w:t>DelimitedText</w:t>
            </w:r>
          </w:p>
        </w:tc>
        <w:tc>
          <w:tcPr>
            <w:tcW w:type="dxa" w:w="1440"/>
          </w:tcPr>
          <w:p>
            <w:pPr>
              <w:spacing w:before="60" w:after="60"/>
            </w:pPr>
            <w:r>
              <w:rPr>
                <w:rFonts w:ascii="Segoe UI" w:hAnsi="Segoe UI"/>
                <w:color w:val="485670"/>
                <w:sz w:val="19"/>
              </w:rPr>
              <w:t>CSV</w:t>
            </w:r>
          </w:p>
        </w:tc>
        <w:tc>
          <w:tcPr>
            <w:tcW w:type="dxa" w:w="1872"/>
          </w:tcPr>
          <w:p>
            <w:pPr>
              <w:spacing w:before="60" w:after="60"/>
            </w:pPr>
            <w:r>
              <w:rPr>
                <w:rFonts w:ascii="Segoe UI" w:hAnsi="Segoe UI"/>
                <w:color w:val="485670"/>
                <w:sz w:val="19"/>
              </w:rPr>
              <w:t>None</w:t>
            </w:r>
          </w:p>
        </w:tc>
        <w:tc>
          <w:tcPr>
            <w:tcW w:type="dxa" w:w="2016"/>
          </w:tcPr>
          <w:p>
            <w:pPr>
              <w:spacing w:before="60" w:after="60"/>
            </w:pPr>
            <w:r>
              <w:rPr>
                <w:rFonts w:ascii="Segoe UI" w:hAnsi="Segoe UI"/>
                <w:color w:val="485670"/>
                <w:sz w:val="19"/>
              </w:rPr>
            </w:r>
            <w:r>
              <w:rPr>
                <w:rFonts w:ascii="Cascadia Code" w:hAnsi="Cascadia Code"/>
                <w:color w:val="0B68B0"/>
                <w:sz w:val="17"/>
              </w:rPr>
              <w:t>LS_ADLS_SAMI</w:t>
            </w:r>
            <w:r>
              <w:rPr>
                <w:rFonts w:ascii="Segoe UI" w:hAnsi="Segoe UI"/>
                <w:color w:val="485670"/>
                <w:sz w:val="19"/>
              </w:rPr>
            </w:r>
          </w:p>
        </w:tc>
      </w:tr>
      <w:tr>
        <w:tc>
          <w:tcPr>
            <w:tcW w:type="dxa" w:w="2592"/>
          </w:tcPr>
          <w:p>
            <w:pPr>
              <w:spacing w:before="60" w:after="60"/>
            </w:pPr>
            <w:r>
              <w:rPr>
                <w:rFonts w:ascii="Segoe UI" w:hAnsi="Segoe UI"/>
                <w:color w:val="485670"/>
                <w:sz w:val="19"/>
              </w:rPr>
            </w:r>
            <w:r>
              <w:rPr>
                <w:rFonts w:ascii="Cascadia Code" w:hAnsi="Cascadia Code"/>
                <w:color w:val="0B68B0"/>
                <w:sz w:val="17"/>
              </w:rPr>
              <w:t>DS_ADLS_PARQUET</w:t>
            </w:r>
            <w:r>
              <w:rPr>
                <w:rFonts w:ascii="Segoe UI" w:hAnsi="Segoe UI"/>
                <w:color w:val="485670"/>
                <w:sz w:val="19"/>
              </w:rPr>
            </w:r>
          </w:p>
        </w:tc>
        <w:tc>
          <w:tcPr>
            <w:tcW w:type="dxa" w:w="1872"/>
          </w:tcPr>
          <w:p>
            <w:pPr>
              <w:spacing w:before="60" w:after="60"/>
            </w:pPr>
            <w:r>
              <w:rPr>
                <w:rFonts w:ascii="Segoe UI" w:hAnsi="Segoe UI"/>
                <w:color w:val="485670"/>
                <w:sz w:val="19"/>
              </w:rPr>
              <w:t>Parquet</w:t>
            </w:r>
          </w:p>
        </w:tc>
        <w:tc>
          <w:tcPr>
            <w:tcW w:type="dxa" w:w="1440"/>
          </w:tcPr>
          <w:p>
            <w:pPr>
              <w:spacing w:before="60" w:after="60"/>
            </w:pPr>
            <w:r>
              <w:rPr>
                <w:rFonts w:ascii="Segoe UI" w:hAnsi="Segoe UI"/>
                <w:color w:val="485670"/>
                <w:sz w:val="19"/>
              </w:rPr>
              <w:t>Parquet</w:t>
            </w:r>
          </w:p>
        </w:tc>
        <w:tc>
          <w:tcPr>
            <w:tcW w:type="dxa" w:w="1872"/>
          </w:tcPr>
          <w:p>
            <w:pPr>
              <w:spacing w:before="60" w:after="60"/>
            </w:pPr>
            <w:r>
              <w:rPr>
                <w:rFonts w:ascii="Segoe UI" w:hAnsi="Segoe UI"/>
                <w:color w:val="485670"/>
                <w:sz w:val="19"/>
              </w:rPr>
              <w:t>None</w:t>
            </w:r>
          </w:p>
        </w:tc>
        <w:tc>
          <w:tcPr>
            <w:tcW w:type="dxa" w:w="2016"/>
          </w:tcPr>
          <w:p>
            <w:pPr>
              <w:spacing w:before="60" w:after="60"/>
            </w:pPr>
            <w:r>
              <w:rPr>
                <w:rFonts w:ascii="Segoe UI" w:hAnsi="Segoe UI"/>
                <w:color w:val="485670"/>
                <w:sz w:val="19"/>
              </w:rPr>
            </w:r>
            <w:r>
              <w:rPr>
                <w:rFonts w:ascii="Cascadia Code" w:hAnsi="Cascadia Code"/>
                <w:color w:val="0B68B0"/>
                <w:sz w:val="17"/>
              </w:rPr>
              <w:t>LS_ADLS_SAMI</w:t>
            </w:r>
            <w:r>
              <w:rPr>
                <w:rFonts w:ascii="Segoe UI" w:hAnsi="Segoe UI"/>
                <w:color w:val="485670"/>
                <w:sz w:val="19"/>
              </w:rPr>
            </w:r>
          </w:p>
        </w:tc>
      </w:tr>
      <w:tr>
        <w:tc>
          <w:tcPr>
            <w:tcW w:type="dxa" w:w="2592"/>
          </w:tcPr>
          <w:p>
            <w:pPr>
              <w:spacing w:before="60" w:after="60"/>
            </w:pPr>
            <w:r>
              <w:rPr>
                <w:rFonts w:ascii="Segoe UI" w:hAnsi="Segoe UI"/>
                <w:color w:val="485670"/>
                <w:sz w:val="19"/>
              </w:rPr>
            </w:r>
            <w:r>
              <w:rPr>
                <w:rFonts w:ascii="Cascadia Code" w:hAnsi="Cascadia Code"/>
                <w:color w:val="0B68B0"/>
                <w:sz w:val="17"/>
              </w:rPr>
              <w:t>DS_ADLS_JSON</w:t>
            </w:r>
            <w:r>
              <w:rPr>
                <w:rFonts w:ascii="Segoe UI" w:hAnsi="Segoe UI"/>
                <w:color w:val="485670"/>
                <w:sz w:val="19"/>
              </w:rPr>
            </w:r>
          </w:p>
        </w:tc>
        <w:tc>
          <w:tcPr>
            <w:tcW w:type="dxa" w:w="1872"/>
          </w:tcPr>
          <w:p>
            <w:pPr>
              <w:spacing w:before="60" w:after="60"/>
            </w:pPr>
            <w:r>
              <w:rPr>
                <w:rFonts w:ascii="Segoe UI" w:hAnsi="Segoe UI"/>
                <w:color w:val="485670"/>
                <w:sz w:val="19"/>
              </w:rPr>
              <w:t>Json</w:t>
            </w:r>
          </w:p>
        </w:tc>
        <w:tc>
          <w:tcPr>
            <w:tcW w:type="dxa" w:w="1440"/>
          </w:tcPr>
          <w:p>
            <w:pPr>
              <w:spacing w:before="60" w:after="60"/>
            </w:pPr>
            <w:r>
              <w:rPr>
                <w:rFonts w:ascii="Segoe UI" w:hAnsi="Segoe UI"/>
                <w:color w:val="485670"/>
                <w:sz w:val="19"/>
              </w:rPr>
              <w:t>JSON</w:t>
            </w:r>
          </w:p>
        </w:tc>
        <w:tc>
          <w:tcPr>
            <w:tcW w:type="dxa" w:w="1872"/>
          </w:tcPr>
          <w:p>
            <w:pPr>
              <w:spacing w:before="60" w:after="60"/>
            </w:pPr>
            <w:r>
              <w:rPr>
                <w:rFonts w:ascii="Segoe UI" w:hAnsi="Segoe UI"/>
                <w:color w:val="485670"/>
                <w:sz w:val="19"/>
              </w:rPr>
              <w:t>None</w:t>
            </w:r>
          </w:p>
        </w:tc>
        <w:tc>
          <w:tcPr>
            <w:tcW w:type="dxa" w:w="2016"/>
          </w:tcPr>
          <w:p>
            <w:pPr>
              <w:spacing w:before="60" w:after="60"/>
            </w:pPr>
            <w:r>
              <w:rPr>
                <w:rFonts w:ascii="Segoe UI" w:hAnsi="Segoe UI"/>
                <w:color w:val="485670"/>
                <w:sz w:val="19"/>
              </w:rPr>
            </w:r>
            <w:r>
              <w:rPr>
                <w:rFonts w:ascii="Cascadia Code" w:hAnsi="Cascadia Code"/>
                <w:color w:val="0B68B0"/>
                <w:sz w:val="17"/>
              </w:rPr>
              <w:t>LS_ADLS_SAMI</w:t>
            </w:r>
            <w:r>
              <w:rPr>
                <w:rFonts w:ascii="Segoe UI" w:hAnsi="Segoe UI"/>
                <w:color w:val="485670"/>
                <w:sz w:val="19"/>
              </w:rPr>
            </w:r>
          </w:p>
        </w:tc>
      </w:tr>
      <w:tr>
        <w:tc>
          <w:tcPr>
            <w:tcW w:type="dxa" w:w="2592"/>
          </w:tcPr>
          <w:p>
            <w:pPr>
              <w:spacing w:before="60" w:after="60"/>
            </w:pPr>
            <w:r>
              <w:rPr>
                <w:rFonts w:ascii="Segoe UI" w:hAnsi="Segoe UI"/>
                <w:color w:val="485670"/>
                <w:sz w:val="19"/>
              </w:rPr>
            </w:r>
            <w:r>
              <w:rPr>
                <w:rFonts w:ascii="Cascadia Code" w:hAnsi="Cascadia Code"/>
                <w:color w:val="0B68B0"/>
                <w:sz w:val="17"/>
              </w:rPr>
              <w:t>DS_ADLS_GZIP_CSV</w:t>
            </w:r>
            <w:r>
              <w:rPr>
                <w:rFonts w:ascii="Segoe UI" w:hAnsi="Segoe UI"/>
                <w:color w:val="485670"/>
                <w:sz w:val="19"/>
              </w:rPr>
            </w:r>
          </w:p>
        </w:tc>
        <w:tc>
          <w:tcPr>
            <w:tcW w:type="dxa" w:w="1872"/>
          </w:tcPr>
          <w:p>
            <w:pPr>
              <w:spacing w:before="60" w:after="60"/>
            </w:pPr>
            <w:r>
              <w:rPr>
                <w:rFonts w:ascii="Segoe UI" w:hAnsi="Segoe UI"/>
                <w:color w:val="485670"/>
                <w:sz w:val="19"/>
              </w:rPr>
              <w:t>DelimitedText</w:t>
            </w:r>
          </w:p>
        </w:tc>
        <w:tc>
          <w:tcPr>
            <w:tcW w:type="dxa" w:w="1440"/>
          </w:tcPr>
          <w:p>
            <w:pPr>
              <w:spacing w:before="60" w:after="60"/>
            </w:pPr>
            <w:r>
              <w:rPr>
                <w:rFonts w:ascii="Segoe UI" w:hAnsi="Segoe UI"/>
                <w:color w:val="485670"/>
                <w:sz w:val="19"/>
              </w:rPr>
              <w:t>CSV</w:t>
            </w:r>
          </w:p>
        </w:tc>
        <w:tc>
          <w:tcPr>
            <w:tcW w:type="dxa" w:w="1872"/>
          </w:tcPr>
          <w:p>
            <w:pPr>
              <w:spacing w:before="60" w:after="60"/>
            </w:pPr>
            <w:r>
              <w:rPr>
                <w:rFonts w:ascii="Segoe UI" w:hAnsi="Segoe UI"/>
                <w:color w:val="485670"/>
                <w:sz w:val="19"/>
              </w:rPr>
              <w:t>gzip</w:t>
            </w:r>
          </w:p>
        </w:tc>
        <w:tc>
          <w:tcPr>
            <w:tcW w:type="dxa" w:w="2016"/>
          </w:tcPr>
          <w:p>
            <w:pPr>
              <w:spacing w:before="60" w:after="60"/>
            </w:pPr>
            <w:r>
              <w:rPr>
                <w:rFonts w:ascii="Segoe UI" w:hAnsi="Segoe UI"/>
                <w:color w:val="485670"/>
                <w:sz w:val="19"/>
              </w:rPr>
            </w:r>
            <w:r>
              <w:rPr>
                <w:rFonts w:ascii="Cascadia Code" w:hAnsi="Cascadia Code"/>
                <w:color w:val="0B68B0"/>
                <w:sz w:val="17"/>
              </w:rPr>
              <w:t>LS_ADLS_SAMI</w:t>
            </w:r>
            <w:r>
              <w:rPr>
                <w:rFonts w:ascii="Segoe UI" w:hAnsi="Segoe UI"/>
                <w:color w:val="485670"/>
                <w:sz w:val="19"/>
              </w:rPr>
            </w:r>
          </w:p>
        </w:tc>
      </w:tr>
      <w:tr>
        <w:tc>
          <w:tcPr>
            <w:tcW w:type="dxa" w:w="2592"/>
          </w:tcPr>
          <w:p>
            <w:pPr>
              <w:spacing w:before="60" w:after="60"/>
            </w:pPr>
            <w:r>
              <w:rPr>
                <w:rFonts w:ascii="Segoe UI" w:hAnsi="Segoe UI"/>
                <w:color w:val="485670"/>
                <w:sz w:val="19"/>
              </w:rPr>
            </w:r>
            <w:r>
              <w:rPr>
                <w:rFonts w:ascii="Cascadia Code" w:hAnsi="Cascadia Code"/>
                <w:color w:val="0B68B0"/>
                <w:sz w:val="17"/>
              </w:rPr>
              <w:t>DS_ADLS_ZIP_CSV</w:t>
            </w:r>
            <w:r>
              <w:rPr>
                <w:rFonts w:ascii="Segoe UI" w:hAnsi="Segoe UI"/>
                <w:color w:val="485670"/>
                <w:sz w:val="19"/>
              </w:rPr>
            </w:r>
          </w:p>
        </w:tc>
        <w:tc>
          <w:tcPr>
            <w:tcW w:type="dxa" w:w="1872"/>
          </w:tcPr>
          <w:p>
            <w:pPr>
              <w:spacing w:before="60" w:after="60"/>
            </w:pPr>
            <w:r>
              <w:rPr>
                <w:rFonts w:ascii="Segoe UI" w:hAnsi="Segoe UI"/>
                <w:color w:val="485670"/>
                <w:sz w:val="19"/>
              </w:rPr>
              <w:t>DelimitedText</w:t>
            </w:r>
          </w:p>
        </w:tc>
        <w:tc>
          <w:tcPr>
            <w:tcW w:type="dxa" w:w="1440"/>
          </w:tcPr>
          <w:p>
            <w:pPr>
              <w:spacing w:before="60" w:after="60"/>
            </w:pPr>
            <w:r>
              <w:rPr>
                <w:rFonts w:ascii="Segoe UI" w:hAnsi="Segoe UI"/>
                <w:color w:val="485670"/>
                <w:sz w:val="19"/>
              </w:rPr>
              <w:t>CSV</w:t>
            </w:r>
          </w:p>
        </w:tc>
        <w:tc>
          <w:tcPr>
            <w:tcW w:type="dxa" w:w="1872"/>
          </w:tcPr>
          <w:p>
            <w:pPr>
              <w:spacing w:before="60" w:after="60"/>
            </w:pPr>
            <w:r>
              <w:rPr>
                <w:rFonts w:ascii="Segoe UI" w:hAnsi="Segoe UI"/>
                <w:color w:val="485670"/>
                <w:sz w:val="19"/>
              </w:rPr>
              <w:t>ZipDeflate</w:t>
            </w:r>
          </w:p>
        </w:tc>
        <w:tc>
          <w:tcPr>
            <w:tcW w:type="dxa" w:w="2016"/>
          </w:tcPr>
          <w:p>
            <w:pPr>
              <w:spacing w:before="60" w:after="60"/>
            </w:pPr>
            <w:r>
              <w:rPr>
                <w:rFonts w:ascii="Segoe UI" w:hAnsi="Segoe UI"/>
                <w:color w:val="485670"/>
                <w:sz w:val="19"/>
              </w:rPr>
            </w:r>
            <w:r>
              <w:rPr>
                <w:rFonts w:ascii="Cascadia Code" w:hAnsi="Cascadia Code"/>
                <w:color w:val="0B68B0"/>
                <w:sz w:val="17"/>
              </w:rPr>
              <w:t>LS_ADLS_SAMI</w:t>
            </w:r>
            <w:r>
              <w:rPr>
                <w:rFonts w:ascii="Segoe UI" w:hAnsi="Segoe UI"/>
                <w:color w:val="485670"/>
                <w:sz w:val="19"/>
              </w:rPr>
            </w:r>
          </w:p>
        </w:tc>
      </w:tr>
      <w:tr>
        <w:tc>
          <w:tcPr>
            <w:tcW w:type="dxa" w:w="2592"/>
          </w:tcPr>
          <w:p>
            <w:pPr>
              <w:spacing w:before="60" w:after="60"/>
            </w:pPr>
            <w:r>
              <w:rPr>
                <w:rFonts w:ascii="Segoe UI" w:hAnsi="Segoe UI"/>
                <w:color w:val="485670"/>
                <w:sz w:val="19"/>
              </w:rPr>
            </w:r>
            <w:r>
              <w:rPr>
                <w:rFonts w:ascii="Cascadia Code" w:hAnsi="Cascadia Code"/>
                <w:color w:val="0B68B0"/>
                <w:sz w:val="17"/>
              </w:rPr>
              <w:t>DS_ADLS_TARGZIP_CSV</w:t>
            </w:r>
            <w:r>
              <w:rPr>
                <w:rFonts w:ascii="Segoe UI" w:hAnsi="Segoe UI"/>
                <w:color w:val="485670"/>
                <w:sz w:val="19"/>
              </w:rPr>
            </w:r>
          </w:p>
        </w:tc>
        <w:tc>
          <w:tcPr>
            <w:tcW w:type="dxa" w:w="1872"/>
          </w:tcPr>
          <w:p>
            <w:pPr>
              <w:spacing w:before="60" w:after="60"/>
            </w:pPr>
            <w:r>
              <w:rPr>
                <w:rFonts w:ascii="Segoe UI" w:hAnsi="Segoe UI"/>
                <w:color w:val="485670"/>
                <w:sz w:val="19"/>
              </w:rPr>
              <w:t>DelimitedText</w:t>
            </w:r>
          </w:p>
        </w:tc>
        <w:tc>
          <w:tcPr>
            <w:tcW w:type="dxa" w:w="1440"/>
          </w:tcPr>
          <w:p>
            <w:pPr>
              <w:spacing w:before="60" w:after="60"/>
            </w:pPr>
            <w:r>
              <w:rPr>
                <w:rFonts w:ascii="Segoe UI" w:hAnsi="Segoe UI"/>
                <w:color w:val="485670"/>
                <w:sz w:val="19"/>
              </w:rPr>
              <w:t>CSV</w:t>
            </w:r>
          </w:p>
        </w:tc>
        <w:tc>
          <w:tcPr>
            <w:tcW w:type="dxa" w:w="1872"/>
          </w:tcPr>
          <w:p>
            <w:pPr>
              <w:spacing w:before="60" w:after="60"/>
            </w:pPr>
            <w:r>
              <w:rPr>
                <w:rFonts w:ascii="Segoe UI" w:hAnsi="Segoe UI"/>
                <w:color w:val="485670"/>
                <w:sz w:val="19"/>
              </w:rPr>
              <w:t>TarGzip</w:t>
            </w:r>
          </w:p>
        </w:tc>
        <w:tc>
          <w:tcPr>
            <w:tcW w:type="dxa" w:w="2016"/>
          </w:tcPr>
          <w:p>
            <w:pPr>
              <w:spacing w:before="60" w:after="60"/>
            </w:pPr>
            <w:r>
              <w:rPr>
                <w:rFonts w:ascii="Segoe UI" w:hAnsi="Segoe UI"/>
                <w:color w:val="485670"/>
                <w:sz w:val="19"/>
              </w:rPr>
            </w:r>
            <w:r>
              <w:rPr>
                <w:rFonts w:ascii="Cascadia Code" w:hAnsi="Cascadia Code"/>
                <w:color w:val="0B68B0"/>
                <w:sz w:val="17"/>
              </w:rPr>
              <w:t>LS_ADLS_SAMI</w:t>
            </w:r>
            <w:r>
              <w:rPr>
                <w:rFonts w:ascii="Segoe UI" w:hAnsi="Segoe UI"/>
                <w:color w:val="485670"/>
                <w:sz w:val="19"/>
              </w:rPr>
            </w:r>
          </w:p>
        </w:tc>
      </w:tr>
      <w:tr>
        <w:tc>
          <w:tcPr>
            <w:tcW w:type="dxa" w:w="2592"/>
          </w:tcPr>
          <w:p>
            <w:pPr>
              <w:spacing w:before="60" w:after="60"/>
            </w:pPr>
            <w:r>
              <w:rPr>
                <w:rFonts w:ascii="Segoe UI" w:hAnsi="Segoe UI"/>
                <w:color w:val="485670"/>
                <w:sz w:val="19"/>
              </w:rPr>
            </w:r>
            <w:r>
              <w:rPr>
                <w:rFonts w:ascii="Cascadia Code" w:hAnsi="Cascadia Code"/>
                <w:color w:val="0B68B0"/>
                <w:sz w:val="17"/>
              </w:rPr>
              <w:t>DS_ADLS_GZIP_JSON</w:t>
            </w:r>
            <w:r>
              <w:rPr>
                <w:rFonts w:ascii="Segoe UI" w:hAnsi="Segoe UI"/>
                <w:color w:val="485670"/>
                <w:sz w:val="19"/>
              </w:rPr>
            </w:r>
          </w:p>
        </w:tc>
        <w:tc>
          <w:tcPr>
            <w:tcW w:type="dxa" w:w="1872"/>
          </w:tcPr>
          <w:p>
            <w:pPr>
              <w:spacing w:before="60" w:after="60"/>
            </w:pPr>
            <w:r>
              <w:rPr>
                <w:rFonts w:ascii="Segoe UI" w:hAnsi="Segoe UI"/>
                <w:color w:val="485670"/>
                <w:sz w:val="19"/>
              </w:rPr>
              <w:t>Json</w:t>
            </w:r>
          </w:p>
        </w:tc>
        <w:tc>
          <w:tcPr>
            <w:tcW w:type="dxa" w:w="1440"/>
          </w:tcPr>
          <w:p>
            <w:pPr>
              <w:spacing w:before="60" w:after="60"/>
            </w:pPr>
            <w:r>
              <w:rPr>
                <w:rFonts w:ascii="Segoe UI" w:hAnsi="Segoe UI"/>
                <w:color w:val="485670"/>
                <w:sz w:val="19"/>
              </w:rPr>
              <w:t>JSON</w:t>
            </w:r>
          </w:p>
        </w:tc>
        <w:tc>
          <w:tcPr>
            <w:tcW w:type="dxa" w:w="1872"/>
          </w:tcPr>
          <w:p>
            <w:pPr>
              <w:spacing w:before="60" w:after="60"/>
            </w:pPr>
            <w:r>
              <w:rPr>
                <w:rFonts w:ascii="Segoe UI" w:hAnsi="Segoe UI"/>
                <w:color w:val="485670"/>
                <w:sz w:val="19"/>
              </w:rPr>
              <w:t>gzip</w:t>
            </w:r>
          </w:p>
        </w:tc>
        <w:tc>
          <w:tcPr>
            <w:tcW w:type="dxa" w:w="2016"/>
          </w:tcPr>
          <w:p>
            <w:pPr>
              <w:spacing w:before="60" w:after="60"/>
            </w:pPr>
            <w:r>
              <w:rPr>
                <w:rFonts w:ascii="Segoe UI" w:hAnsi="Segoe UI"/>
                <w:color w:val="485670"/>
                <w:sz w:val="19"/>
              </w:rPr>
            </w:r>
            <w:r>
              <w:rPr>
                <w:rFonts w:ascii="Cascadia Code" w:hAnsi="Cascadia Code"/>
                <w:color w:val="0B68B0"/>
                <w:sz w:val="17"/>
              </w:rPr>
              <w:t>LS_ADLS_SAMI</w:t>
            </w:r>
            <w:r>
              <w:rPr>
                <w:rFonts w:ascii="Segoe UI" w:hAnsi="Segoe UI"/>
                <w:color w:val="485670"/>
                <w:sz w:val="19"/>
              </w:rPr>
            </w:r>
          </w:p>
        </w:tc>
      </w:tr>
      <w:tr>
        <w:tc>
          <w:tcPr>
            <w:tcW w:type="dxa" w:w="2592"/>
          </w:tcPr>
          <w:p>
            <w:pPr>
              <w:spacing w:before="60" w:after="60"/>
            </w:pPr>
            <w:r>
              <w:rPr>
                <w:rFonts w:ascii="Segoe UI" w:hAnsi="Segoe UI"/>
                <w:color w:val="485670"/>
                <w:sz w:val="19"/>
              </w:rPr>
            </w:r>
            <w:r>
              <w:rPr>
                <w:rFonts w:ascii="Cascadia Code" w:hAnsi="Cascadia Code"/>
                <w:color w:val="0B68B0"/>
                <w:sz w:val="17"/>
              </w:rPr>
              <w:t>DS_ADLS_ZIP_JSON</w:t>
            </w:r>
            <w:r>
              <w:rPr>
                <w:rFonts w:ascii="Segoe UI" w:hAnsi="Segoe UI"/>
                <w:color w:val="485670"/>
                <w:sz w:val="19"/>
              </w:rPr>
            </w:r>
          </w:p>
        </w:tc>
        <w:tc>
          <w:tcPr>
            <w:tcW w:type="dxa" w:w="1872"/>
          </w:tcPr>
          <w:p>
            <w:pPr>
              <w:spacing w:before="60" w:after="60"/>
            </w:pPr>
            <w:r>
              <w:rPr>
                <w:rFonts w:ascii="Segoe UI" w:hAnsi="Segoe UI"/>
                <w:color w:val="485670"/>
                <w:sz w:val="19"/>
              </w:rPr>
              <w:t>Json</w:t>
            </w:r>
          </w:p>
        </w:tc>
        <w:tc>
          <w:tcPr>
            <w:tcW w:type="dxa" w:w="1440"/>
          </w:tcPr>
          <w:p>
            <w:pPr>
              <w:spacing w:before="60" w:after="60"/>
            </w:pPr>
            <w:r>
              <w:rPr>
                <w:rFonts w:ascii="Segoe UI" w:hAnsi="Segoe UI"/>
                <w:color w:val="485670"/>
                <w:sz w:val="19"/>
              </w:rPr>
              <w:t>JSON</w:t>
            </w:r>
          </w:p>
        </w:tc>
        <w:tc>
          <w:tcPr>
            <w:tcW w:type="dxa" w:w="1872"/>
          </w:tcPr>
          <w:p>
            <w:pPr>
              <w:spacing w:before="60" w:after="60"/>
            </w:pPr>
            <w:r>
              <w:rPr>
                <w:rFonts w:ascii="Segoe UI" w:hAnsi="Segoe UI"/>
                <w:color w:val="485670"/>
                <w:sz w:val="19"/>
              </w:rPr>
              <w:t>ZipDeflate</w:t>
            </w:r>
          </w:p>
        </w:tc>
        <w:tc>
          <w:tcPr>
            <w:tcW w:type="dxa" w:w="2016"/>
          </w:tcPr>
          <w:p>
            <w:pPr>
              <w:spacing w:before="60" w:after="60"/>
            </w:pPr>
            <w:r>
              <w:rPr>
                <w:rFonts w:ascii="Segoe UI" w:hAnsi="Segoe UI"/>
                <w:color w:val="485670"/>
                <w:sz w:val="19"/>
              </w:rPr>
            </w:r>
            <w:r>
              <w:rPr>
                <w:rFonts w:ascii="Cascadia Code" w:hAnsi="Cascadia Code"/>
                <w:color w:val="0B68B0"/>
                <w:sz w:val="17"/>
              </w:rPr>
              <w:t>LS_ADLS_SAMI</w:t>
            </w:r>
            <w:r>
              <w:rPr>
                <w:rFonts w:ascii="Segoe UI" w:hAnsi="Segoe UI"/>
                <w:color w:val="485670"/>
                <w:sz w:val="19"/>
              </w:rPr>
            </w:r>
          </w:p>
        </w:tc>
      </w:tr>
      <w:tr>
        <w:tc>
          <w:tcPr>
            <w:tcW w:type="dxa" w:w="2592"/>
          </w:tcPr>
          <w:p>
            <w:pPr>
              <w:spacing w:before="60" w:after="60"/>
            </w:pPr>
            <w:r>
              <w:rPr>
                <w:rFonts w:ascii="Segoe UI" w:hAnsi="Segoe UI"/>
                <w:color w:val="485670"/>
                <w:sz w:val="19"/>
              </w:rPr>
            </w:r>
            <w:r>
              <w:rPr>
                <w:rFonts w:ascii="Cascadia Code" w:hAnsi="Cascadia Code"/>
                <w:color w:val="0B68B0"/>
                <w:sz w:val="17"/>
              </w:rPr>
              <w:t>DS_ADLS_TARGZIP_JSON</w:t>
            </w:r>
            <w:r>
              <w:rPr>
                <w:rFonts w:ascii="Segoe UI" w:hAnsi="Segoe UI"/>
                <w:color w:val="485670"/>
                <w:sz w:val="19"/>
              </w:rPr>
            </w:r>
          </w:p>
        </w:tc>
        <w:tc>
          <w:tcPr>
            <w:tcW w:type="dxa" w:w="1872"/>
          </w:tcPr>
          <w:p>
            <w:pPr>
              <w:spacing w:before="60" w:after="60"/>
            </w:pPr>
            <w:r>
              <w:rPr>
                <w:rFonts w:ascii="Segoe UI" w:hAnsi="Segoe UI"/>
                <w:color w:val="485670"/>
                <w:sz w:val="19"/>
              </w:rPr>
              <w:t>Json</w:t>
            </w:r>
          </w:p>
        </w:tc>
        <w:tc>
          <w:tcPr>
            <w:tcW w:type="dxa" w:w="1440"/>
          </w:tcPr>
          <w:p>
            <w:pPr>
              <w:spacing w:before="60" w:after="60"/>
            </w:pPr>
            <w:r>
              <w:rPr>
                <w:rFonts w:ascii="Segoe UI" w:hAnsi="Segoe UI"/>
                <w:color w:val="485670"/>
                <w:sz w:val="19"/>
              </w:rPr>
              <w:t>JSON</w:t>
            </w:r>
          </w:p>
        </w:tc>
        <w:tc>
          <w:tcPr>
            <w:tcW w:type="dxa" w:w="1872"/>
          </w:tcPr>
          <w:p>
            <w:pPr>
              <w:spacing w:before="60" w:after="60"/>
            </w:pPr>
            <w:r>
              <w:rPr>
                <w:rFonts w:ascii="Segoe UI" w:hAnsi="Segoe UI"/>
                <w:color w:val="485670"/>
                <w:sz w:val="19"/>
              </w:rPr>
              <w:t>TarGzip</w:t>
            </w:r>
          </w:p>
        </w:tc>
        <w:tc>
          <w:tcPr>
            <w:tcW w:type="dxa" w:w="2016"/>
          </w:tcPr>
          <w:p>
            <w:pPr>
              <w:spacing w:before="60" w:after="60"/>
            </w:pPr>
            <w:r>
              <w:rPr>
                <w:rFonts w:ascii="Segoe UI" w:hAnsi="Segoe UI"/>
                <w:color w:val="485670"/>
                <w:sz w:val="19"/>
              </w:rPr>
            </w:r>
            <w:r>
              <w:rPr>
                <w:rFonts w:ascii="Cascadia Code" w:hAnsi="Cascadia Code"/>
                <w:color w:val="0B68B0"/>
                <w:sz w:val="17"/>
              </w:rPr>
              <w:t>LS_ADLS_SAMI</w:t>
            </w:r>
            <w:r>
              <w:rPr>
                <w:rFonts w:ascii="Segoe UI" w:hAnsi="Segoe UI"/>
                <w:color w:val="485670"/>
                <w:sz w:val="19"/>
              </w:rPr>
            </w:r>
          </w:p>
        </w:tc>
      </w:tr>
      <w:tr>
        <w:tc>
          <w:tcPr>
            <w:tcW w:type="dxa" w:w="2592"/>
          </w:tcPr>
          <w:p>
            <w:pPr>
              <w:spacing w:before="60" w:after="60"/>
            </w:pPr>
            <w:r>
              <w:rPr>
                <w:rFonts w:ascii="Segoe UI" w:hAnsi="Segoe UI"/>
                <w:color w:val="485670"/>
                <w:sz w:val="19"/>
              </w:rPr>
            </w:r>
            <w:r>
              <w:rPr>
                <w:rFonts w:ascii="Cascadia Code" w:hAnsi="Cascadia Code"/>
                <w:color w:val="0B68B0"/>
                <w:sz w:val="17"/>
              </w:rPr>
              <w:t>DS_ADLS_BINARY</w:t>
            </w:r>
            <w:r>
              <w:rPr>
                <w:rFonts w:ascii="Segoe UI" w:hAnsi="Segoe UI"/>
                <w:color w:val="485670"/>
                <w:sz w:val="19"/>
              </w:rPr>
            </w:r>
          </w:p>
        </w:tc>
        <w:tc>
          <w:tcPr>
            <w:tcW w:type="dxa" w:w="1872"/>
          </w:tcPr>
          <w:p>
            <w:pPr>
              <w:spacing w:before="60" w:after="60"/>
            </w:pPr>
            <w:r>
              <w:rPr>
                <w:rFonts w:ascii="Segoe UI" w:hAnsi="Segoe UI"/>
                <w:color w:val="485670"/>
                <w:sz w:val="19"/>
              </w:rPr>
              <w:t>Binary</w:t>
            </w:r>
          </w:p>
        </w:tc>
        <w:tc>
          <w:tcPr>
            <w:tcW w:type="dxa" w:w="1440"/>
          </w:tcPr>
          <w:p>
            <w:pPr>
              <w:spacing w:before="60" w:after="60"/>
            </w:pPr>
            <w:r>
              <w:rPr>
                <w:rFonts w:ascii="Segoe UI" w:hAnsi="Segoe UI"/>
                <w:color w:val="485670"/>
                <w:sz w:val="19"/>
              </w:rPr>
              <w:t>Any binary</w:t>
            </w:r>
          </w:p>
        </w:tc>
        <w:tc>
          <w:tcPr>
            <w:tcW w:type="dxa" w:w="1872"/>
          </w:tcPr>
          <w:p>
            <w:pPr>
              <w:spacing w:before="60" w:after="60"/>
            </w:pPr>
            <w:r>
              <w:rPr>
                <w:rFonts w:ascii="Segoe UI" w:hAnsi="Segoe UI"/>
                <w:color w:val="485670"/>
                <w:sz w:val="19"/>
              </w:rPr>
              <w:t>None (pass-through)</w:t>
            </w:r>
          </w:p>
        </w:tc>
        <w:tc>
          <w:tcPr>
            <w:tcW w:type="dxa" w:w="2016"/>
          </w:tcPr>
          <w:p>
            <w:pPr>
              <w:spacing w:before="60" w:after="60"/>
            </w:pPr>
            <w:r>
              <w:rPr>
                <w:rFonts w:ascii="Segoe UI" w:hAnsi="Segoe UI"/>
                <w:color w:val="485670"/>
                <w:sz w:val="19"/>
              </w:rPr>
            </w:r>
            <w:r>
              <w:rPr>
                <w:rFonts w:ascii="Cascadia Code" w:hAnsi="Cascadia Code"/>
                <w:color w:val="0B68B0"/>
                <w:sz w:val="17"/>
              </w:rPr>
              <w:t>LS_ADLS_SAMI</w:t>
            </w:r>
            <w:r>
              <w:rPr>
                <w:rFonts w:ascii="Segoe UI" w:hAnsi="Segoe UI"/>
                <w:color w:val="485670"/>
                <w:sz w:val="19"/>
              </w:rPr>
            </w:r>
          </w:p>
        </w:tc>
      </w:tr>
    </w:tbl>
    <w:p/>
    <w:p>
      <w:pPr>
        <w:spacing w:before="360" w:after="120"/>
        <w:pBdr>
          <w:bottom w:val="single" w:sz="4" w:space="3" w:color="E3EFF9"/>
        </w:pBdr>
      </w:pPr>
      <w:r>
        <w:rPr>
          <w:rFonts w:ascii="Segoe UI Semibold" w:hAnsi="Segoe UI Semibold"/>
          <w:b/>
          <w:color w:val="1B2238"/>
          <w:sz w:val="26"/>
        </w:rPr>
        <w:t>ADF Global Parameters</w:t>
      </w:r>
    </w:p>
    <w:p>
      <w:pPr>
        <w:spacing w:after="100"/>
      </w:pPr>
      <w:r>
        <w:rPr>
          <w:rFonts w:ascii="Segoe UI" w:hAnsi="Segoe UI"/>
          <w:color w:val="485670"/>
          <w:sz w:val="21"/>
        </w:rPr>
        <w:t>Factory-level parameters shared across all pipelines are managed as ADF Global Parameters rather than duplicated pipeline-level parameters. Updating the metadata server or database name requires one change at the factory level, not across every pipeline definition.</w:t>
      </w:r>
    </w:p>
    <w:tbl>
      <w:tblPr>
        <w:tblStyle w:val="TableGrid"/>
        <w:tblW w:type="auto" w:w="0"/>
        <w:jc w:val="left"/>
        <w:tblLook w:firstColumn="1" w:firstRow="1" w:lastColumn="0" w:lastRow="0" w:noHBand="0" w:noVBand="1" w:val="04A0"/>
      </w:tblPr>
      <w:tblGrid>
        <w:gridCol w:w="2196"/>
        <w:gridCol w:w="2196"/>
        <w:gridCol w:w="2196"/>
        <w:gridCol w:w="2196"/>
      </w:tblGrid>
      <w:tr>
        <w:tc>
          <w:tcPr>
            <w:tcW w:type="dxa" w:w="2592"/>
            <w:shd w:val="clear" w:color="auto" w:fill="EBF0F8"/>
          </w:tcPr>
          <w:p>
            <w:pPr>
              <w:spacing w:before="60" w:after="60"/>
            </w:pPr>
            <w:r>
              <w:rPr>
                <w:rFonts w:ascii="Segoe UI" w:hAnsi="Segoe UI"/>
                <w:b/>
                <w:color w:val="6A788F"/>
                <w:sz w:val="15"/>
              </w:rPr>
              <w:t>GLOBAL PARAMETER</w:t>
            </w:r>
          </w:p>
        </w:tc>
        <w:tc>
          <w:tcPr>
            <w:tcW w:type="dxa" w:w="1008"/>
            <w:shd w:val="clear" w:color="auto" w:fill="EBF0F8"/>
          </w:tcPr>
          <w:p>
            <w:pPr>
              <w:spacing w:before="60" w:after="60"/>
            </w:pPr>
            <w:r>
              <w:rPr>
                <w:rFonts w:ascii="Segoe UI" w:hAnsi="Segoe UI"/>
                <w:b/>
                <w:color w:val="6A788F"/>
                <w:sz w:val="15"/>
              </w:rPr>
              <w:t>TYPE</w:t>
            </w:r>
          </w:p>
        </w:tc>
        <w:tc>
          <w:tcPr>
            <w:tcW w:type="dxa" w:w="3168"/>
            <w:shd w:val="clear" w:color="auto" w:fill="EBF0F8"/>
          </w:tcPr>
          <w:p>
            <w:pPr>
              <w:spacing w:before="60" w:after="60"/>
            </w:pPr>
            <w:r>
              <w:rPr>
                <w:rFonts w:ascii="Segoe UI" w:hAnsi="Segoe UI"/>
                <w:b/>
                <w:color w:val="6A788F"/>
                <w:sz w:val="15"/>
              </w:rPr>
              <w:t>VALUE</w:t>
            </w:r>
          </w:p>
        </w:tc>
        <w:tc>
          <w:tcPr>
            <w:tcW w:type="dxa" w:w="4464"/>
            <w:shd w:val="clear" w:color="auto" w:fill="EBF0F8"/>
          </w:tcPr>
          <w:p>
            <w:pPr>
              <w:spacing w:before="60" w:after="60"/>
            </w:pPr>
            <w:r>
              <w:rPr>
                <w:rFonts w:ascii="Segoe UI" w:hAnsi="Segoe UI"/>
                <w:b/>
                <w:color w:val="6A788F"/>
                <w:sz w:val="15"/>
              </w:rPr>
              <w:t>REFERENCED AS</w:t>
            </w:r>
          </w:p>
        </w:tc>
      </w:tr>
      <w:tr>
        <w:tc>
          <w:tcPr>
            <w:tcW w:type="dxa" w:w="2592"/>
          </w:tcPr>
          <w:p>
            <w:pPr>
              <w:spacing w:before="60" w:after="60"/>
            </w:pPr>
            <w:r>
              <w:rPr>
                <w:rFonts w:ascii="Segoe UI" w:hAnsi="Segoe UI"/>
                <w:color w:val="485670"/>
                <w:sz w:val="19"/>
              </w:rPr>
            </w:r>
            <w:r>
              <w:rPr>
                <w:rFonts w:ascii="Cascadia Code" w:hAnsi="Cascadia Code"/>
                <w:color w:val="0B68B0"/>
                <w:sz w:val="17"/>
              </w:rPr>
              <w:t>MetadataServerName</w:t>
            </w:r>
            <w:r>
              <w:rPr>
                <w:rFonts w:ascii="Segoe UI" w:hAnsi="Segoe UI"/>
                <w:color w:val="485670"/>
                <w:sz w:val="19"/>
              </w:rPr>
            </w:r>
          </w:p>
        </w:tc>
        <w:tc>
          <w:tcPr>
            <w:tcW w:type="dxa" w:w="1008"/>
          </w:tcPr>
          <w:p>
            <w:pPr>
              <w:spacing w:before="60" w:after="60"/>
            </w:pPr>
            <w:r>
              <w:rPr>
                <w:rFonts w:ascii="Segoe UI" w:hAnsi="Segoe UI"/>
                <w:color w:val="485670"/>
                <w:sz w:val="19"/>
              </w:rPr>
              <w:t>String</w:t>
            </w:r>
          </w:p>
        </w:tc>
        <w:tc>
          <w:tcPr>
            <w:tcW w:type="dxa" w:w="3168"/>
          </w:tcPr>
          <w:p>
            <w:pPr>
              <w:spacing w:before="60" w:after="60"/>
            </w:pPr>
            <w:r>
              <w:rPr>
                <w:rFonts w:ascii="Segoe UI" w:hAnsi="Segoe UI"/>
                <w:color w:val="485670"/>
                <w:sz w:val="19"/>
              </w:rPr>
            </w:r>
            <w:r>
              <w:rPr>
                <w:rFonts w:ascii="Cascadia Code" w:hAnsi="Cascadia Code"/>
                <w:color w:val="0B68B0"/>
                <w:sz w:val="17"/>
              </w:rPr>
              <w:t>asqlserverclaude01.database.windows.net</w:t>
            </w:r>
            <w:r>
              <w:rPr>
                <w:rFonts w:ascii="Segoe UI" w:hAnsi="Segoe UI"/>
                <w:color w:val="485670"/>
                <w:sz w:val="19"/>
              </w:rPr>
            </w:r>
          </w:p>
        </w:tc>
        <w:tc>
          <w:tcPr>
            <w:tcW w:type="dxa" w:w="4464"/>
          </w:tcPr>
          <w:p>
            <w:pPr>
              <w:spacing w:before="60" w:after="60"/>
            </w:pPr>
            <w:r>
              <w:rPr>
                <w:rFonts w:ascii="Segoe UI" w:hAnsi="Segoe UI"/>
                <w:color w:val="485670"/>
                <w:sz w:val="19"/>
              </w:rPr>
            </w:r>
            <w:r>
              <w:rPr>
                <w:rFonts w:ascii="Cascadia Code" w:hAnsi="Cascadia Code"/>
                <w:color w:val="0B68B0"/>
                <w:sz w:val="17"/>
              </w:rPr>
              <w:t>@pipeline().globalParameters.MetadataServerName</w:t>
            </w:r>
            <w:r>
              <w:rPr>
                <w:rFonts w:ascii="Segoe UI" w:hAnsi="Segoe UI"/>
                <w:color w:val="485670"/>
                <w:sz w:val="19"/>
              </w:rPr>
            </w:r>
          </w:p>
        </w:tc>
      </w:tr>
      <w:tr>
        <w:tc>
          <w:tcPr>
            <w:tcW w:type="dxa" w:w="2592"/>
          </w:tcPr>
          <w:p>
            <w:pPr>
              <w:spacing w:before="60" w:after="60"/>
            </w:pPr>
            <w:r>
              <w:rPr>
                <w:rFonts w:ascii="Segoe UI" w:hAnsi="Segoe UI"/>
                <w:color w:val="485670"/>
                <w:sz w:val="19"/>
              </w:rPr>
            </w:r>
            <w:r>
              <w:rPr>
                <w:rFonts w:ascii="Cascadia Code" w:hAnsi="Cascadia Code"/>
                <w:color w:val="0B68B0"/>
                <w:sz w:val="17"/>
              </w:rPr>
              <w:t>MetadataDatabaseName</w:t>
            </w:r>
            <w:r>
              <w:rPr>
                <w:rFonts w:ascii="Segoe UI" w:hAnsi="Segoe UI"/>
                <w:color w:val="485670"/>
                <w:sz w:val="19"/>
              </w:rPr>
            </w:r>
          </w:p>
        </w:tc>
        <w:tc>
          <w:tcPr>
            <w:tcW w:type="dxa" w:w="1008"/>
          </w:tcPr>
          <w:p>
            <w:pPr>
              <w:spacing w:before="60" w:after="60"/>
            </w:pPr>
            <w:r>
              <w:rPr>
                <w:rFonts w:ascii="Segoe UI" w:hAnsi="Segoe UI"/>
                <w:color w:val="485670"/>
                <w:sz w:val="19"/>
              </w:rPr>
              <w:t>String</w:t>
            </w:r>
          </w:p>
        </w:tc>
        <w:tc>
          <w:tcPr>
            <w:tcW w:type="dxa" w:w="3168"/>
          </w:tcPr>
          <w:p>
            <w:pPr>
              <w:spacing w:before="60" w:after="60"/>
            </w:pPr>
            <w:r>
              <w:rPr>
                <w:rFonts w:ascii="Segoe UI" w:hAnsi="Segoe UI"/>
                <w:color w:val="485670"/>
                <w:sz w:val="19"/>
              </w:rPr>
            </w:r>
            <w:r>
              <w:rPr>
                <w:rFonts w:ascii="Cascadia Code" w:hAnsi="Cascadia Code"/>
                <w:color w:val="0B68B0"/>
                <w:sz w:val="17"/>
              </w:rPr>
              <w:t>asqlclaude01</w:t>
            </w:r>
            <w:r>
              <w:rPr>
                <w:rFonts w:ascii="Segoe UI" w:hAnsi="Segoe UI"/>
                <w:color w:val="485670"/>
                <w:sz w:val="19"/>
              </w:rPr>
            </w:r>
          </w:p>
        </w:tc>
        <w:tc>
          <w:tcPr>
            <w:tcW w:type="dxa" w:w="4464"/>
          </w:tcPr>
          <w:p>
            <w:pPr>
              <w:spacing w:before="60" w:after="60"/>
            </w:pPr>
            <w:r>
              <w:rPr>
                <w:rFonts w:ascii="Segoe UI" w:hAnsi="Segoe UI"/>
                <w:color w:val="485670"/>
                <w:sz w:val="19"/>
              </w:rPr>
            </w:r>
            <w:r>
              <w:rPr>
                <w:rFonts w:ascii="Cascadia Code" w:hAnsi="Cascadia Code"/>
                <w:color w:val="0B68B0"/>
                <w:sz w:val="17"/>
              </w:rPr>
              <w:t>@pipeline().globalParameters.MetadataDatabaseName</w:t>
            </w:r>
            <w:r>
              <w:rPr>
                <w:rFonts w:ascii="Segoe UI" w:hAnsi="Segoe UI"/>
                <w:color w:val="485670"/>
                <w:sz w:val="19"/>
              </w:rPr>
            </w:r>
          </w:p>
        </w:tc>
      </w:tr>
    </w:tbl>
    <w:p/>
    <w:p>
      <w:pPr>
        <w:spacing w:before="360" w:after="40"/>
      </w:pPr>
      <w:r>
        <w:rPr>
          <w:rFonts w:ascii="Segoe UI" w:hAnsi="Segoe UI"/>
          <w:b/>
          <w:color w:val="0B68B0"/>
          <w:sz w:val="15"/>
        </w:rPr>
        <w:t>08 — LOAD PATTERNS</w:t>
      </w:r>
    </w:p>
    <w:p>
      <w:pPr>
        <w:spacing w:before="80" w:after="200"/>
        <w:pBdr>
          <w:bottom w:val="single" w:sz="8" w:space="4" w:color="E3EFF9"/>
        </w:pBdr>
      </w:pPr>
      <w:r>
        <w:rPr>
          <w:rFonts w:ascii="Segoe UI Semibold" w:hAnsi="Segoe UI Semibold"/>
          <w:b/>
          <w:color w:val="1B2238"/>
          <w:sz w:val="44"/>
        </w:rPr>
        <w:t>Load Patterns</w:t>
      </w:r>
    </w:p>
    <w:p>
      <w:pPr>
        <w:spacing w:after="100"/>
      </w:pPr>
      <w:r>
        <w:rPr>
          <w:rFonts w:ascii="Segoe UI" w:hAnsi="Segoe UI"/>
          <w:color w:val="485670"/>
          <w:sz w:val="21"/>
        </w:rPr>
        <w:t>The framework supports two load patterns, controlled by the Load_Type flag on MetadataRef. Both patterns flow through the same generic ADF pipeline — the metadata determines the behaviour.</w:t>
      </w:r>
    </w:p>
    <w:p>
      <w:pPr>
        <w:spacing w:before="360" w:after="120"/>
        <w:pBdr>
          <w:bottom w:val="single" w:sz="4" w:space="3" w:color="E3EFF9"/>
        </w:pBdr>
      </w:pPr>
      <w:r>
        <w:rPr>
          <w:rFonts w:ascii="Segoe UI Semibold" w:hAnsi="Segoe UI Semibold"/>
          <w:b/>
          <w:color w:val="1B2238"/>
          <w:sz w:val="26"/>
        </w:rPr>
        <w:t>Full Refresh  [Load_Type = Full_Refresh]</w:t>
      </w:r>
    </w:p>
    <w:p>
      <w:pPr>
        <w:spacing w:after="100"/>
      </w:pPr>
      <w:r>
        <w:rPr>
          <w:rFonts w:ascii="Segoe UI" w:hAnsi="Segoe UI"/>
          <w:color w:val="485670"/>
          <w:sz w:val="21"/>
        </w:rPr>
        <w:t>The entire dataset is read from source and written to the target on each run. Used for reference data, small dimension tables, or sources where change tracking is not available.</w:t>
      </w:r>
    </w:p>
    <w:p>
      <w:pPr>
        <w:pStyle w:val="ListBullet"/>
        <w:spacing w:after="60"/>
        <w:ind w:left="360"/>
      </w:pPr>
      <w:r>
        <w:rPr>
          <w:rFonts w:ascii="Segoe UI" w:hAnsi="Segoe UI"/>
          <w:color w:val="485670"/>
          <w:sz w:val="21"/>
        </w:rPr>
        <w:t>Watermark_ID is NULL — no high-water mark is maintained.</w:t>
      </w:r>
    </w:p>
    <w:p>
      <w:pPr>
        <w:pStyle w:val="ListBullet"/>
        <w:spacing w:after="60"/>
        <w:ind w:left="360"/>
      </w:pPr>
      <w:r>
        <w:rPr>
          <w:rFonts w:ascii="Segoe UI" w:hAnsi="Segoe UI"/>
          <w:color w:val="485670"/>
          <w:sz w:val="21"/>
        </w:rPr>
        <w:t>No source-side filter is applied; all records are copied on every run.</w:t>
      </w:r>
    </w:p>
    <w:p>
      <w:pPr>
        <w:pStyle w:val="ListBullet"/>
        <w:spacing w:after="60"/>
        <w:ind w:left="360"/>
      </w:pPr>
      <w:r>
        <w:rPr>
          <w:rFonts w:ascii="Segoe UI" w:hAnsi="Segoe UI"/>
          <w:color w:val="485670"/>
          <w:sz w:val="21"/>
        </w:rPr>
        <w:t>Each Switch case contains a single Copy activity. No watermark validation or update activities are needed.</w:t>
      </w:r>
    </w:p>
    <w:p>
      <w:pPr>
        <w:pStyle w:val="ListBullet"/>
        <w:spacing w:after="60"/>
        <w:ind w:left="360"/>
      </w:pPr>
      <w:r>
        <w:rPr>
          <w:rFonts w:ascii="Segoe UI" w:hAnsi="Segoe UI"/>
          <w:color w:val="485670"/>
          <w:sz w:val="21"/>
        </w:rPr>
        <w:t>Pipeline name carries the FULL suffix.</w:t>
      </w:r>
    </w:p>
    <w:p>
      <w:pPr>
        <w:spacing w:before="360" w:after="120"/>
        <w:pBdr>
          <w:bottom w:val="single" w:sz="4" w:space="3" w:color="E3EFF9"/>
        </w:pBdr>
      </w:pPr>
      <w:r>
        <w:rPr>
          <w:rFonts w:ascii="Segoe UI Semibold" w:hAnsi="Segoe UI Semibold"/>
          <w:b/>
          <w:color w:val="1B2238"/>
          <w:sz w:val="26"/>
        </w:rPr>
        <w:t>Incremental / Delta  [Load_Type = Incremental]</w:t>
      </w:r>
    </w:p>
    <w:p>
      <w:pPr>
        <w:spacing w:after="100"/>
      </w:pPr>
      <w:r>
        <w:rPr>
          <w:rFonts w:ascii="Segoe UI" w:hAnsi="Segoe UI"/>
          <w:color w:val="485670"/>
          <w:sz w:val="21"/>
        </w:rPr>
        <w:t>Only records added or changed since the last successful run are copied.</w:t>
      </w:r>
    </w:p>
    <w:p>
      <w:pPr>
        <w:pStyle w:val="ListBullet"/>
        <w:spacing w:after="60"/>
        <w:ind w:left="360"/>
      </w:pPr>
      <w:r>
        <w:rPr>
          <w:rFonts w:ascii="Segoe UI" w:hAnsi="Segoe UI"/>
          <w:color w:val="485670"/>
          <w:sz w:val="21"/>
        </w:rPr>
        <w:t>Watermark_ID references a row in the Watermark table.</w:t>
      </w:r>
    </w:p>
    <w:p>
      <w:pPr>
        <w:pStyle w:val="ListBullet"/>
        <w:spacing w:after="60"/>
        <w:ind w:left="360"/>
      </w:pPr>
      <w:r>
        <w:rPr>
          <w:rFonts w:ascii="Segoe UI" w:hAnsi="Segoe UI"/>
          <w:color w:val="485670"/>
          <w:sz w:val="21"/>
        </w:rPr>
        <w:t>For SQL sources: Watermark_Column identifies the datetime column on the source table. The source query wraps the user-supplied query with WHERE {Watermark_Column} &gt; '{Watermark_Value}'.</w:t>
      </w:r>
    </w:p>
    <w:p>
      <w:pPr>
        <w:pStyle w:val="ListBullet"/>
        <w:spacing w:after="60"/>
        <w:ind w:left="360"/>
      </w:pPr>
      <w:r>
        <w:rPr>
          <w:rFonts w:ascii="Segoe UI" w:hAnsi="Segoe UI"/>
          <w:color w:val="485670"/>
          <w:sz w:val="21"/>
        </w:rPr>
        <w:t>For file-based sources (ADLS): modifiedDatetimeStart in AzureBlobFSReadSettings filters files by last-modified timestamp. Watermark_Column serves as a documentation label only.</w:t>
      </w:r>
    </w:p>
    <w:p>
      <w:pPr>
        <w:pStyle w:val="ListBullet"/>
        <w:spacing w:after="60"/>
        <w:ind w:left="360"/>
      </w:pPr>
      <w:r>
        <w:rPr>
          <w:rFonts w:ascii="Segoe UI" w:hAnsi="Segoe UI"/>
          <w:color w:val="485670"/>
          <w:sz w:val="21"/>
        </w:rPr>
        <w:t>After a successful copy that transfers data, a Script activity updates Watermark_Value to UTC now in the metadata database.</w:t>
      </w:r>
    </w:p>
    <w:p>
      <w:pPr>
        <w:pStyle w:val="ListBullet"/>
        <w:spacing w:after="60"/>
        <w:ind w:left="360"/>
      </w:pPr>
      <w:r>
        <w:rPr>
          <w:rFonts w:ascii="Segoe UI" w:hAnsi="Segoe UI"/>
          <w:color w:val="485670"/>
          <w:sz w:val="21"/>
        </w:rPr>
        <w:t>Pipeline name carries the INCREMENTAL suffix.</w:t>
      </w:r>
    </w:p>
    <w:p>
      <w:pPr>
        <w:spacing w:before="360" w:after="120"/>
        <w:pBdr>
          <w:bottom w:val="single" w:sz="4" w:space="3" w:color="E3EFF9"/>
        </w:pBdr>
      </w:pPr>
      <w:r>
        <w:rPr>
          <w:rFonts w:ascii="Segoe UI Semibold" w:hAnsi="Segoe UI Semibold"/>
          <w:b/>
          <w:color w:val="1B2238"/>
          <w:sz w:val="26"/>
        </w:rPr>
        <w:t>Activity Direction</w:t>
      </w:r>
    </w:p>
    <w:tbl>
      <w:tblPr>
        <w:tblStyle w:val="TableGrid"/>
        <w:tblW w:type="auto" w:w="0"/>
        <w:jc w:val="left"/>
        <w:tblLook w:firstColumn="1" w:firstRow="1" w:lastColumn="0" w:lastRow="0" w:noHBand="0" w:noVBand="1" w:val="04A0"/>
      </w:tblPr>
      <w:tblGrid>
        <w:gridCol w:w="2928"/>
        <w:gridCol w:w="2928"/>
        <w:gridCol w:w="2928"/>
      </w:tblGrid>
      <w:tr>
        <w:tc>
          <w:tcPr>
            <w:tcW w:type="dxa" w:w="1728"/>
            <w:shd w:val="clear" w:color="auto" w:fill="EBF0F8"/>
          </w:tcPr>
          <w:p>
            <w:pPr>
              <w:spacing w:before="60" w:after="60"/>
            </w:pPr>
            <w:r>
              <w:rPr>
                <w:rFonts w:ascii="Segoe UI" w:hAnsi="Segoe UI"/>
                <w:b/>
                <w:color w:val="6A788F"/>
                <w:sz w:val="15"/>
              </w:rPr>
              <w:t>ACTIVITYTYPE</w:t>
            </w:r>
          </w:p>
        </w:tc>
        <w:tc>
          <w:tcPr>
            <w:tcW w:type="dxa" w:w="2880"/>
            <w:shd w:val="clear" w:color="auto" w:fill="EBF0F8"/>
          </w:tcPr>
          <w:p>
            <w:pPr>
              <w:spacing w:before="60" w:after="60"/>
            </w:pPr>
            <w:r>
              <w:rPr>
                <w:rFonts w:ascii="Segoe UI" w:hAnsi="Segoe UI"/>
                <w:b/>
                <w:color w:val="6A788F"/>
                <w:sz w:val="15"/>
              </w:rPr>
              <w:t>DIRECTION</w:t>
            </w:r>
          </w:p>
        </w:tc>
        <w:tc>
          <w:tcPr>
            <w:tcW w:type="dxa" w:w="5184"/>
            <w:shd w:val="clear" w:color="auto" w:fill="EBF0F8"/>
          </w:tcPr>
          <w:p>
            <w:pPr>
              <w:spacing w:before="60" w:after="60"/>
            </w:pPr>
            <w:r>
              <w:rPr>
                <w:rFonts w:ascii="Segoe UI" w:hAnsi="Segoe UI"/>
                <w:b/>
                <w:color w:val="6A788F"/>
                <w:sz w:val="15"/>
              </w:rPr>
              <w:t>TYPICAL USE</w:t>
            </w:r>
          </w:p>
        </w:tc>
      </w:tr>
      <w:tr>
        <w:tc>
          <w:tcPr>
            <w:tcW w:type="dxa" w:w="1728"/>
          </w:tcPr>
          <w:p>
            <w:pPr>
              <w:spacing w:before="60" w:after="60"/>
            </w:pPr>
            <w:r>
              <w:rPr>
                <w:rFonts w:ascii="Segoe UI" w:hAnsi="Segoe UI"/>
                <w:color w:val="485670"/>
                <w:sz w:val="19"/>
              </w:rPr>
              <w:t>Ingress</w:t>
            </w:r>
          </w:p>
        </w:tc>
        <w:tc>
          <w:tcPr>
            <w:tcW w:type="dxa" w:w="2880"/>
          </w:tcPr>
          <w:p>
            <w:pPr>
              <w:spacing w:before="60" w:after="60"/>
            </w:pPr>
            <w:r>
              <w:rPr>
                <w:rFonts w:ascii="Segoe UI" w:hAnsi="Segoe UI"/>
                <w:color w:val="485670"/>
                <w:sz w:val="19"/>
              </w:rPr>
              <w:t>Source system -&gt; Data platform</w:t>
            </w:r>
          </w:p>
        </w:tc>
        <w:tc>
          <w:tcPr>
            <w:tcW w:type="dxa" w:w="5184"/>
          </w:tcPr>
          <w:p>
            <w:pPr>
              <w:spacing w:before="60" w:after="60"/>
            </w:pPr>
            <w:r>
              <w:rPr>
                <w:rFonts w:ascii="Segoe UI" w:hAnsi="Segoe UI"/>
                <w:color w:val="485670"/>
                <w:sz w:val="19"/>
              </w:rPr>
              <w:t>Pulling data from source systems into the landing or staging zone</w:t>
            </w:r>
          </w:p>
        </w:tc>
      </w:tr>
      <w:tr>
        <w:tc>
          <w:tcPr>
            <w:tcW w:type="dxa" w:w="1728"/>
          </w:tcPr>
          <w:p>
            <w:pPr>
              <w:spacing w:before="60" w:after="60"/>
            </w:pPr>
            <w:r>
              <w:rPr>
                <w:rFonts w:ascii="Segoe UI" w:hAnsi="Segoe UI"/>
                <w:color w:val="485670"/>
                <w:sz w:val="19"/>
              </w:rPr>
              <w:t>Egress</w:t>
            </w:r>
          </w:p>
        </w:tc>
        <w:tc>
          <w:tcPr>
            <w:tcW w:type="dxa" w:w="2880"/>
          </w:tcPr>
          <w:p>
            <w:pPr>
              <w:spacing w:before="60" w:after="60"/>
            </w:pPr>
            <w:r>
              <w:rPr>
                <w:rFonts w:ascii="Segoe UI" w:hAnsi="Segoe UI"/>
                <w:color w:val="485670"/>
                <w:sz w:val="19"/>
              </w:rPr>
              <w:t>Data platform -&gt; Consumer</w:t>
            </w:r>
          </w:p>
        </w:tc>
        <w:tc>
          <w:tcPr>
            <w:tcW w:type="dxa" w:w="5184"/>
          </w:tcPr>
          <w:p>
            <w:pPr>
              <w:spacing w:before="60" w:after="60"/>
            </w:pPr>
            <w:r>
              <w:rPr>
                <w:rFonts w:ascii="Segoe UI" w:hAnsi="Segoe UI"/>
                <w:color w:val="485670"/>
                <w:sz w:val="19"/>
              </w:rPr>
              <w:t>Pushing processed data from the platform to downstream consumers</w:t>
            </w:r>
          </w:p>
        </w:tc>
      </w:tr>
    </w:tbl>
    <w:p/>
    <w:p>
      <w:pPr>
        <w:spacing w:before="360" w:after="40"/>
      </w:pPr>
      <w:r>
        <w:rPr>
          <w:rFonts w:ascii="Segoe UI" w:hAnsi="Segoe UI"/>
          <w:b/>
          <w:color w:val="0B68B0"/>
          <w:sz w:val="15"/>
        </w:rPr>
        <w:t>09 — FAILURE &amp; EDGE CASES</w:t>
      </w:r>
    </w:p>
    <w:p>
      <w:pPr>
        <w:spacing w:before="80" w:after="200"/>
        <w:pBdr>
          <w:bottom w:val="single" w:sz="8" w:space="4" w:color="FEF2F2"/>
        </w:pBdr>
      </w:pPr>
      <w:r>
        <w:rPr>
          <w:rFonts w:ascii="Segoe UI Semibold" w:hAnsi="Segoe UI Semibold"/>
          <w:b/>
          <w:color w:val="991B1B"/>
          <w:sz w:val="44"/>
        </w:rPr>
        <w:t>Incremental Pipeline Resilience</w:t>
      </w:r>
    </w:p>
    <w:p>
      <w:pPr>
        <w:spacing w:after="100"/>
      </w:pPr>
      <w:r>
        <w:rPr>
          <w:rFonts w:ascii="Segoe UI" w:hAnsi="Segoe UI"/>
          <w:color w:val="485670"/>
          <w:sz w:val="21"/>
        </w:rPr>
        <w:t>The incremental pipelines implement multiple defensive patterns to handle edge cases that would otherwise result in silent data loss, incorrect watermark advancement, or hard-to-diagnose failures. Each guard is implemented as a discrete ADF activity with explicit dependency conditions.</w:t>
      </w:r>
    </w:p>
    <w:tbl>
      <w:tblPr>
        <w:tblStyle w:val="TableGrid"/>
        <w:tblW w:type="auto" w:w="0"/>
        <w:jc w:val="left"/>
        <w:tblLook w:firstColumn="1" w:firstRow="1" w:lastColumn="0" w:lastRow="0" w:noHBand="0" w:noVBand="1" w:val="04A0"/>
      </w:tblPr>
      <w:tblGrid>
        <w:gridCol w:w="4392"/>
        <w:gridCol w:w="4392"/>
      </w:tblGrid>
      <w:tr>
        <w:tc>
          <w:tcPr>
            <w:tcW w:type="dxa" w:w="144"/>
            <w:shd w:val="clear" w:color="auto" w:fill="991B1B"/>
          </w:tcPr>
          <w:p/>
        </w:tc>
        <w:tc>
          <w:tcPr>
            <w:tcW w:type="dxa" w:w="4392"/>
            <w:shd w:val="clear" w:color="auto" w:fill="FEF2F2"/>
          </w:tcPr>
          <w:p>
            <w:pPr>
              <w:spacing w:before="100" w:after="100"/>
            </w:pPr>
            <w:r>
              <w:rPr>
                <w:rFonts w:ascii="Segoe UI" w:hAnsi="Segoe UI"/>
                <w:color w:val="991B1B"/>
                <w:sz w:val="19"/>
              </w:rPr>
              <w:t>Why these guards matter: Without them, a pipeline could advance the watermark on a failed copy (losing the retry window), silently advance on an empty result (masking a missing data issue), or run indefinitely with a null watermark (copying all records on every run with no filtering). Each scenario below has been considered and explicitly handled.</w:t>
            </w:r>
          </w:p>
        </w:tc>
      </w:tr>
    </w:tbl>
    <w:p/>
    <w:tbl>
      <w:tblPr>
        <w:tblStyle w:val="TableGrid"/>
        <w:tblW w:type="auto" w:w="0"/>
        <w:jc w:val="left"/>
        <w:tblLook w:firstColumn="1" w:firstRow="1" w:lastColumn="0" w:lastRow="0" w:noHBand="0" w:noVBand="1" w:val="04A0"/>
      </w:tblPr>
      <w:tblGrid>
        <w:gridCol w:w="4392"/>
        <w:gridCol w:w="4392"/>
      </w:tblGrid>
      <w:tr>
        <w:tc>
          <w:tcPr>
            <w:tcW w:type="dxa" w:w="144"/>
            <w:shd w:val="clear" w:color="auto" w:fill="991B1B"/>
          </w:tcPr>
          <w:p/>
        </w:tc>
        <w:tc>
          <w:tcPr>
            <w:tcW w:type="dxa" w:w="4392"/>
            <w:shd w:val="clear" w:color="auto" w:fill="FEF2F2"/>
          </w:tcPr>
          <w:p>
            <w:pPr>
              <w:spacing w:before="120" w:after="40"/>
            </w:pPr>
            <w:r>
              <w:rPr>
                <w:rFonts w:ascii="Cascadia Code" w:hAnsi="Cascadia Code"/>
                <w:b/>
                <w:color w:val="991B1B"/>
                <w:sz w:val="18"/>
              </w:rPr>
              <w:t xml:space="preserve">[WM001]  </w:t>
            </w:r>
            <w:r>
              <w:rPr>
                <w:rFonts w:ascii="Segoe UI Semibold" w:hAnsi="Segoe UI Semibold"/>
                <w:b/>
                <w:color w:val="1B2238"/>
                <w:sz w:val="22"/>
              </w:rPr>
              <w:t>Null Watermark Validation</w:t>
            </w:r>
          </w:p>
          <w:p>
            <w:pPr>
              <w:spacing w:before="80" w:after="40"/>
            </w:pPr>
            <w:r>
              <w:rPr>
                <w:rFonts w:ascii="Segoe UI" w:hAnsi="Segoe UI"/>
                <w:color w:val="485670"/>
                <w:sz w:val="19"/>
              </w:rPr>
              <w:t>Risk: If Watermark_Column or Watermark_Value is null, the incremental source filter cannot be constructed. The copy would proceed unfiltered, loading the entire source on every run — silently corrupting the incremental state.</w:t>
            </w:r>
          </w:p>
          <w:p>
            <w:pPr>
              <w:spacing w:before="80" w:after="40"/>
            </w:pPr>
            <w:r>
              <w:rPr>
                <w:rFonts w:ascii="Segoe UI" w:hAnsi="Segoe UI"/>
                <w:color w:val="485670"/>
                <w:sz w:val="19"/>
              </w:rPr>
              <w:t>Implementation: An IfCondition activity (Validate_Watermark) evaluates the expression below. If either field is null, a Fail activity fires immediately with error code WM001, halting the pipeline run. The message includes the Metadata_Job and Metadata_ID for traceability. The Copy activity never executes.</w:t>
            </w:r>
          </w:p>
          <w:p>
            <w:pPr>
              <w:spacing w:before="80" w:after="80"/>
              <w:shd w:val="clear" w:color="auto" w:fill="F5D0D0"/>
            </w:pPr>
            <w:r>
              <w:rPr>
                <w:rFonts w:ascii="Cascadia Code" w:hAnsi="Cascadia Code"/>
                <w:color w:val="991B1B"/>
                <w:sz w:val="16"/>
              </w:rPr>
              <w:t>@or(equals(item().Watermark_Column, null), equals(item().Watermark_Value, null))</w:t>
            </w:r>
          </w:p>
          <w:p>
            <w:pPr>
              <w:spacing w:before="120" w:after="120"/>
              <w:pBdr>
                <w:top w:val="single" w:sz="4" w:space="2" w:color="991B1B"/>
              </w:pBdr>
            </w:pPr>
            <w:r>
              <w:rPr>
                <w:rFonts w:ascii="Segoe UI" w:hAnsi="Segoe UI"/>
                <w:b/>
                <w:color w:val="991B1B"/>
                <w:sz w:val="17"/>
              </w:rPr>
              <w:t xml:space="preserve">Scope:  </w:t>
            </w:r>
            <w:r>
              <w:rPr>
                <w:rFonts w:ascii="Segoe UI" w:hAnsi="Segoe UI"/>
                <w:color w:val="6A788F"/>
                <w:sz w:val="17"/>
              </w:rPr>
              <w:t>All 3 ASQL incremental cases | Original 9 uncompressed ADLS incremental cases | Not applied to 19 compressed/binary ADLS cases (activity limit constraint AL001)</w:t>
            </w:r>
          </w:p>
        </w:tc>
      </w:tr>
    </w:tbl>
    <w:p/>
    <w:tbl>
      <w:tblPr>
        <w:tblStyle w:val="TableGrid"/>
        <w:tblW w:type="auto" w:w="0"/>
        <w:jc w:val="left"/>
        <w:tblLook w:firstColumn="1" w:firstRow="1" w:lastColumn="0" w:lastRow="0" w:noHBand="0" w:noVBand="1" w:val="04A0"/>
      </w:tblPr>
      <w:tblGrid>
        <w:gridCol w:w="4392"/>
        <w:gridCol w:w="4392"/>
      </w:tblGrid>
      <w:tr>
        <w:tc>
          <w:tcPr>
            <w:tcW w:type="dxa" w:w="144"/>
            <w:shd w:val="clear" w:color="auto" w:fill="991B1B"/>
          </w:tcPr>
          <w:p/>
        </w:tc>
        <w:tc>
          <w:tcPr>
            <w:tcW w:type="dxa" w:w="4392"/>
            <w:shd w:val="clear" w:color="auto" w:fill="FEF2F2"/>
          </w:tcPr>
          <w:p>
            <w:pPr>
              <w:spacing w:before="120" w:after="40"/>
            </w:pPr>
            <w:r>
              <w:rPr>
                <w:rFonts w:ascii="Cascadia Code" w:hAnsi="Cascadia Code"/>
                <w:b/>
                <w:color w:val="991B1B"/>
                <w:sz w:val="18"/>
              </w:rPr>
              <w:t xml:space="preserve">[ZR001]  </w:t>
            </w:r>
            <w:r>
              <w:rPr>
                <w:rFonts w:ascii="Segoe UI Semibold" w:hAnsi="Segoe UI Semibold"/>
                <w:b/>
                <w:color w:val="1B2238"/>
                <w:sz w:val="22"/>
              </w:rPr>
              <w:t>Zero-Rows / Zero-Files Guard</w:t>
            </w:r>
          </w:p>
          <w:p>
            <w:pPr>
              <w:spacing w:before="80" w:after="40"/>
            </w:pPr>
            <w:r>
              <w:rPr>
                <w:rFonts w:ascii="Segoe UI" w:hAnsi="Segoe UI"/>
                <w:color w:val="485670"/>
                <w:sz w:val="19"/>
              </w:rPr>
              <w:t>Risk: If the watermark-filtered source returns zero rows (no new records since last run, or a data gap), advancing the watermark would shift the boundary forward — potentially causing the next run to miss records that arrive late within the original window.</w:t>
            </w:r>
          </w:p>
          <w:p>
            <w:pPr>
              <w:spacing w:before="80" w:after="40"/>
            </w:pPr>
            <w:r>
              <w:rPr>
                <w:rFonts w:ascii="Segoe UI" w:hAnsi="Segoe UI"/>
                <w:color w:val="485670"/>
                <w:sz w:val="19"/>
              </w:rPr>
              <w:t>Implementation: An IfCondition activity (Check_Rows_Copied) evaluates the Copy activity's output metric. The Update_Watermark Script activity is nested in ifTrue only. If zero rows (or zero files for binary) are transferred, the watermark is not advanced and the same window is retried on the next run.</w:t>
            </w:r>
          </w:p>
          <w:p>
            <w:pPr>
              <w:spacing w:before="80" w:after="80"/>
              <w:shd w:val="clear" w:color="auto" w:fill="F5D0D0"/>
            </w:pPr>
            <w:r>
              <w:rPr>
                <w:rFonts w:ascii="Cascadia Code" w:hAnsi="Cascadia Code"/>
                <w:color w:val="991B1B"/>
                <w:sz w:val="16"/>
              </w:rPr>
              <w:t>/* Standard cases: */ @greater(activity('Copy_...').output.rowsCopied, 0)</w:t>
              <w:br/>
              <w:t>/* Binary case:    */ @greater(activity('Copy_ADLS_BINARY_to_ADLS_BINARY').output.filesRead, 0)</w:t>
            </w:r>
          </w:p>
          <w:p>
            <w:pPr>
              <w:spacing w:before="120" w:after="120"/>
              <w:pBdr>
                <w:top w:val="single" w:sz="4" w:space="2" w:color="991B1B"/>
              </w:pBdr>
            </w:pPr>
            <w:r>
              <w:rPr>
                <w:rFonts w:ascii="Segoe UI" w:hAnsi="Segoe UI"/>
                <w:b/>
                <w:color w:val="991B1B"/>
                <w:sz w:val="17"/>
              </w:rPr>
              <w:t xml:space="preserve">Scope:  </w:t>
            </w:r>
            <w:r>
              <w:rPr>
                <w:rFonts w:ascii="Segoe UI" w:hAnsi="Segoe UI"/>
                <w:color w:val="6A788F"/>
                <w:sz w:val="17"/>
              </w:rPr>
              <w:t>All 28 ADLS incremental cases and all 3 ASQL incremental cases | Binary uses filesRead; all others use rowsCopied</w:t>
            </w:r>
          </w:p>
        </w:tc>
      </w:tr>
    </w:tbl>
    <w:p/>
    <w:tbl>
      <w:tblPr>
        <w:tblStyle w:val="TableGrid"/>
        <w:tblW w:type="auto" w:w="0"/>
        <w:jc w:val="left"/>
        <w:tblLook w:firstColumn="1" w:firstRow="1" w:lastColumn="0" w:lastRow="0" w:noHBand="0" w:noVBand="1" w:val="04A0"/>
      </w:tblPr>
      <w:tblGrid>
        <w:gridCol w:w="4392"/>
        <w:gridCol w:w="4392"/>
      </w:tblGrid>
      <w:tr>
        <w:tc>
          <w:tcPr>
            <w:tcW w:type="dxa" w:w="144"/>
            <w:shd w:val="clear" w:color="auto" w:fill="991B1B"/>
          </w:tcPr>
          <w:p/>
        </w:tc>
        <w:tc>
          <w:tcPr>
            <w:tcW w:type="dxa" w:w="4392"/>
            <w:shd w:val="clear" w:color="auto" w:fill="FEF2F2"/>
          </w:tcPr>
          <w:p>
            <w:pPr>
              <w:spacing w:before="120" w:after="40"/>
            </w:pPr>
            <w:r>
              <w:rPr>
                <w:rFonts w:ascii="Cascadia Code" w:hAnsi="Cascadia Code"/>
                <w:b/>
                <w:color w:val="991B1B"/>
                <w:sz w:val="18"/>
              </w:rPr>
              <w:t xml:space="preserve">[CF001]  </w:t>
            </w:r>
            <w:r>
              <w:rPr>
                <w:rFonts w:ascii="Segoe UI Semibold" w:hAnsi="Segoe UI Semibold"/>
                <w:b/>
                <w:color w:val="1B2238"/>
                <w:sz w:val="22"/>
              </w:rPr>
              <w:t>Copy Failure Guard</w:t>
            </w:r>
          </w:p>
          <w:p>
            <w:pPr>
              <w:spacing w:before="80" w:after="40"/>
            </w:pPr>
            <w:r>
              <w:rPr>
                <w:rFonts w:ascii="Segoe UI" w:hAnsi="Segoe UI"/>
                <w:color w:val="485670"/>
                <w:sz w:val="19"/>
              </w:rPr>
              <w:t>Risk: If the Copy activity fails mid-run (network error, schema mismatch, throttling), a watermark update that runs regardless would lock the pipeline into a future time window — permanently skipping all records from the failed run's interval.</w:t>
            </w:r>
          </w:p>
          <w:p>
            <w:pPr>
              <w:spacing w:before="80" w:after="40"/>
            </w:pPr>
            <w:r>
              <w:rPr>
                <w:rFonts w:ascii="Segoe UI" w:hAnsi="Segoe UI"/>
                <w:color w:val="485670"/>
                <w:sz w:val="19"/>
              </w:rPr>
              <w:t>Implementation: The Check_Rows_Copied IfCondition activity has an explicit Succeeded dependency on the Copy activity. If the Copy fails, the IfCondition — and therefore Update_Watermark — is skipped entirely. The watermark stays at the last known good boundary, ensuring the retry re-processes the same time window.</w:t>
            </w:r>
          </w:p>
          <w:p>
            <w:pPr>
              <w:spacing w:before="80" w:after="80"/>
              <w:shd w:val="clear" w:color="auto" w:fill="F5D0D0"/>
            </w:pPr>
            <w:r>
              <w:rPr>
                <w:rFonts w:ascii="Cascadia Code" w:hAnsi="Cascadia Code"/>
                <w:color w:val="991B1B"/>
                <w:sz w:val="16"/>
              </w:rPr>
              <w:t>"dependsOn": [{ "activity": "Copy_...", "dependencyConditions": ["Succeeded"] }]</w:t>
            </w:r>
          </w:p>
          <w:p>
            <w:pPr>
              <w:spacing w:before="120" w:after="120"/>
              <w:pBdr>
                <w:top w:val="single" w:sz="4" w:space="2" w:color="991B1B"/>
              </w:pBdr>
            </w:pPr>
            <w:r>
              <w:rPr>
                <w:rFonts w:ascii="Segoe UI" w:hAnsi="Segoe UI"/>
                <w:b/>
                <w:color w:val="991B1B"/>
                <w:sz w:val="17"/>
              </w:rPr>
              <w:t xml:space="preserve">Scope:  </w:t>
            </w:r>
            <w:r>
              <w:rPr>
                <w:rFonts w:ascii="Segoe UI" w:hAnsi="Segoe UI"/>
                <w:color w:val="6A788F"/>
                <w:sz w:val="17"/>
              </w:rPr>
              <w:t>All 28 ADLS incremental cases and all 3 ASQL incremental cases</w:t>
            </w:r>
          </w:p>
        </w:tc>
      </w:tr>
    </w:tbl>
    <w:p/>
    <w:tbl>
      <w:tblPr>
        <w:tblStyle w:val="TableGrid"/>
        <w:tblW w:type="auto" w:w="0"/>
        <w:jc w:val="left"/>
        <w:tblLook w:firstColumn="1" w:firstRow="1" w:lastColumn="0" w:lastRow="0" w:noHBand="0" w:noVBand="1" w:val="04A0"/>
      </w:tblPr>
      <w:tblGrid>
        <w:gridCol w:w="4392"/>
        <w:gridCol w:w="4392"/>
      </w:tblGrid>
      <w:tr>
        <w:tc>
          <w:tcPr>
            <w:tcW w:type="dxa" w:w="144"/>
            <w:shd w:val="clear" w:color="auto" w:fill="991B1B"/>
          </w:tcPr>
          <w:p/>
        </w:tc>
        <w:tc>
          <w:tcPr>
            <w:tcW w:type="dxa" w:w="4392"/>
            <w:shd w:val="clear" w:color="auto" w:fill="FEF2F2"/>
          </w:tcPr>
          <w:p>
            <w:pPr>
              <w:spacing w:before="120" w:after="40"/>
            </w:pPr>
            <w:r>
              <w:rPr>
                <w:rFonts w:ascii="Cascadia Code" w:hAnsi="Cascadia Code"/>
                <w:b/>
                <w:color w:val="991B1B"/>
                <w:sz w:val="18"/>
              </w:rPr>
              <w:t xml:space="preserve">[FW001]  </w:t>
            </w:r>
            <w:r>
              <w:rPr>
                <w:rFonts w:ascii="Segoe UI Semibold" w:hAnsi="Segoe UI Semibold"/>
                <w:b/>
                <w:color w:val="1B2238"/>
                <w:sz w:val="22"/>
              </w:rPr>
              <w:t>ADLS File-Modification Watermark</w:t>
            </w:r>
          </w:p>
          <w:p>
            <w:pPr>
              <w:spacing w:before="80" w:after="40"/>
            </w:pPr>
            <w:r>
              <w:rPr>
                <w:rFonts w:ascii="Segoe UI" w:hAnsi="Segoe UI"/>
                <w:color w:val="485670"/>
                <w:sz w:val="19"/>
              </w:rPr>
              <w:t>Challenge: File-based sources on ADLS Gen2 have no SQL column that can be used to filter rows by a watermark value. The standard SQL approach (WHERE column &gt; value) cannot be applied to files.</w:t>
            </w:r>
          </w:p>
          <w:p>
            <w:pPr>
              <w:spacing w:before="80" w:after="40"/>
            </w:pPr>
            <w:r>
              <w:rPr>
                <w:rFonts w:ascii="Segoe UI" w:hAnsi="Segoe UI"/>
                <w:color w:val="485670"/>
                <w:sz w:val="19"/>
              </w:rPr>
              <w:t>Implementation: ADF's native modifiedDatetimeStart setting in AzureBlobFSReadSettings is used to filter files by their last-modified timestamp. Watermark_Column in the metadata row for file-based sources acts as a human-readable documentation label and is not used in the filter expression. Only Watermark_Value is consumed at runtime.</w:t>
            </w:r>
          </w:p>
          <w:p>
            <w:pPr>
              <w:spacing w:before="80" w:after="80"/>
              <w:shd w:val="clear" w:color="auto" w:fill="F5D0D0"/>
            </w:pPr>
            <w:r>
              <w:rPr>
                <w:rFonts w:ascii="Cascadia Code" w:hAnsi="Cascadia Code"/>
                <w:color w:val="991B1B"/>
                <w:sz w:val="16"/>
              </w:rPr>
              <w:t>"modifiedDatetimeStart": {</w:t>
              <w:br/>
              <w:t xml:space="preserve">    "value": "@formatDateTime(item().Watermark_Value, 'yyyy-MM-ddTHH:mm:ss')",</w:t>
              <w:br/>
              <w:t xml:space="preserve">    "type": "Expression"</w:t>
              <w:br/>
              <w:t>}</w:t>
            </w:r>
          </w:p>
          <w:p>
            <w:pPr>
              <w:spacing w:before="120" w:after="120"/>
              <w:pBdr>
                <w:top w:val="single" w:sz="4" w:space="2" w:color="991B1B"/>
              </w:pBdr>
            </w:pPr>
            <w:r>
              <w:rPr>
                <w:rFonts w:ascii="Segoe UI" w:hAnsi="Segoe UI"/>
                <w:b/>
                <w:color w:val="991B1B"/>
                <w:sz w:val="17"/>
              </w:rPr>
              <w:t xml:space="preserve">Scope:  </w:t>
            </w:r>
            <w:r>
              <w:rPr>
                <w:rFonts w:ascii="Segoe UI" w:hAnsi="Segoe UI"/>
                <w:color w:val="6A788F"/>
                <w:sz w:val="17"/>
              </w:rPr>
              <w:t>All 28 cases in PL_ADLS_ADLS_INCREMENTAL_INGRESS | Not applicable to ASQL incremental (SQL column filter used instead)</w:t>
            </w:r>
          </w:p>
        </w:tc>
      </w:tr>
    </w:tbl>
    <w:p/>
    <w:tbl>
      <w:tblPr>
        <w:tblStyle w:val="TableGrid"/>
        <w:tblW w:type="auto" w:w="0"/>
        <w:jc w:val="left"/>
        <w:tblLook w:firstColumn="1" w:firstRow="1" w:lastColumn="0" w:lastRow="0" w:noHBand="0" w:noVBand="1" w:val="04A0"/>
      </w:tblPr>
      <w:tblGrid>
        <w:gridCol w:w="4392"/>
        <w:gridCol w:w="4392"/>
      </w:tblGrid>
      <w:tr>
        <w:tc>
          <w:tcPr>
            <w:tcW w:type="dxa" w:w="144"/>
            <w:shd w:val="clear" w:color="auto" w:fill="991B1B"/>
          </w:tcPr>
          <w:p/>
        </w:tc>
        <w:tc>
          <w:tcPr>
            <w:tcW w:type="dxa" w:w="4392"/>
            <w:shd w:val="clear" w:color="auto" w:fill="FEF2F2"/>
          </w:tcPr>
          <w:p>
            <w:pPr>
              <w:spacing w:before="120" w:after="40"/>
            </w:pPr>
            <w:r>
              <w:rPr>
                <w:rFonts w:ascii="Cascadia Code" w:hAnsi="Cascadia Code"/>
                <w:b/>
                <w:color w:val="991B1B"/>
                <w:sz w:val="18"/>
              </w:rPr>
              <w:t xml:space="preserve">[BN001]  </w:t>
            </w:r>
            <w:r>
              <w:rPr>
                <w:rFonts w:ascii="Segoe UI Semibold" w:hAnsi="Segoe UI Semibold"/>
                <w:b/>
                <w:color w:val="1B2238"/>
                <w:sz w:val="22"/>
              </w:rPr>
              <w:t>Binary File Metric Substitution</w:t>
            </w:r>
          </w:p>
          <w:p>
            <w:pPr>
              <w:spacing w:before="80" w:after="40"/>
            </w:pPr>
            <w:r>
              <w:rPr>
                <w:rFonts w:ascii="Segoe UI" w:hAnsi="Segoe UI"/>
                <w:color w:val="485670"/>
                <w:sz w:val="19"/>
              </w:rPr>
              <w:t>Challenge: ADF's Binary Copy activities do not report rowsCopied — binary transfers report filesRead and filesWritten instead. Using rowsCopied for the zero-rows guard would always evaluate to zero, causing the watermark to never advance for binary jobs.</w:t>
            </w:r>
          </w:p>
          <w:p>
            <w:pPr>
              <w:spacing w:before="80" w:after="40"/>
            </w:pPr>
            <w:r>
              <w:rPr>
                <w:rFonts w:ascii="Segoe UI" w:hAnsi="Segoe UI"/>
                <w:color w:val="485670"/>
                <w:sz w:val="19"/>
              </w:rPr>
              <w:t>Implementation: The binary incremental case uses filesRead in the Check_Files_Read guard condition. The Update_Watermark Script activity is otherwise identical to all other incremental cases — only the guard metric differs.</w:t>
            </w:r>
          </w:p>
          <w:p>
            <w:pPr>
              <w:spacing w:before="80" w:after="80"/>
              <w:shd w:val="clear" w:color="auto" w:fill="F5D0D0"/>
            </w:pPr>
            <w:r>
              <w:rPr>
                <w:rFonts w:ascii="Cascadia Code" w:hAnsi="Cascadia Code"/>
                <w:color w:val="991B1B"/>
                <w:sz w:val="16"/>
              </w:rPr>
              <w:t>@greater(activity('Copy_ADLS_BINARY_to_ADLS_BINARY').output.filesRead, 0)</w:t>
            </w:r>
          </w:p>
          <w:p>
            <w:pPr>
              <w:spacing w:before="120" w:after="120"/>
              <w:pBdr>
                <w:top w:val="single" w:sz="4" w:space="2" w:color="991B1B"/>
              </w:pBdr>
            </w:pPr>
            <w:r>
              <w:rPr>
                <w:rFonts w:ascii="Segoe UI" w:hAnsi="Segoe UI"/>
                <w:b/>
                <w:color w:val="991B1B"/>
                <w:sz w:val="17"/>
              </w:rPr>
              <w:t xml:space="preserve">Scope:  </w:t>
            </w:r>
            <w:r>
              <w:rPr>
                <w:rFonts w:ascii="Segoe UI" w:hAnsi="Segoe UI"/>
                <w:color w:val="6A788F"/>
                <w:sz w:val="17"/>
              </w:rPr>
              <w:t>Binary-to-binary switch case only (SW_ADLS_SAMI_BINARY_ADLS_SAMI_BINARY) in PL_ADLS_ADLS_INCREMENTAL_INGRESS</w:t>
            </w:r>
          </w:p>
        </w:tc>
      </w:tr>
    </w:tbl>
    <w:p/>
    <w:tbl>
      <w:tblPr>
        <w:tblStyle w:val="TableGrid"/>
        <w:tblW w:type="auto" w:w="0"/>
        <w:jc w:val="left"/>
        <w:tblLook w:firstColumn="1" w:firstRow="1" w:lastColumn="0" w:lastRow="0" w:noHBand="0" w:noVBand="1" w:val="04A0"/>
      </w:tblPr>
      <w:tblGrid>
        <w:gridCol w:w="4392"/>
        <w:gridCol w:w="4392"/>
      </w:tblGrid>
      <w:tr>
        <w:tc>
          <w:tcPr>
            <w:tcW w:type="dxa" w:w="144"/>
            <w:shd w:val="clear" w:color="auto" w:fill="991B1B"/>
          </w:tcPr>
          <w:p/>
        </w:tc>
        <w:tc>
          <w:tcPr>
            <w:tcW w:type="dxa" w:w="4392"/>
            <w:shd w:val="clear" w:color="auto" w:fill="FEF2F2"/>
          </w:tcPr>
          <w:p>
            <w:pPr>
              <w:spacing w:before="120" w:after="40"/>
            </w:pPr>
            <w:r>
              <w:rPr>
                <w:rFonts w:ascii="Cascadia Code" w:hAnsi="Cascadia Code"/>
                <w:b/>
                <w:color w:val="991B1B"/>
                <w:sz w:val="18"/>
              </w:rPr>
              <w:t xml:space="preserve">[AL001]  </w:t>
            </w:r>
            <w:r>
              <w:rPr>
                <w:rFonts w:ascii="Segoe UI Semibold" w:hAnsi="Segoe UI Semibold"/>
                <w:b/>
                <w:color w:val="1B2238"/>
                <w:sz w:val="22"/>
              </w:rPr>
              <w:t>ADF 120-Activity Limit Workaround</w:t>
            </w:r>
          </w:p>
          <w:p>
            <w:pPr>
              <w:spacing w:before="80" w:after="40"/>
            </w:pPr>
            <w:r>
              <w:rPr>
                <w:rFonts w:ascii="Segoe UI" w:hAnsi="Segoe UI"/>
                <w:color w:val="485670"/>
                <w:sz w:val="19"/>
              </w:rPr>
              <w:t>Constraint: Azure Data Factory enforces a hard limit of 120 nested activities per pipeline. All activities at every nesting level — including activities inside IfCondition branches and Switch cases — count toward this total.</w:t>
            </w:r>
          </w:p>
          <w:p>
            <w:pPr>
              <w:spacing w:before="80" w:after="40"/>
            </w:pPr>
            <w:r>
              <w:rPr>
                <w:rFonts w:ascii="Segoe UI" w:hAnsi="Segoe UI"/>
                <w:color w:val="485670"/>
                <w:sz w:val="19"/>
              </w:rPr>
              <w:t>Problem: PL_ADLS_ADLS_INCREMENTAL_INGRESS needed 28 Switch cases. The full 5-activity pattern (Validate_Watermark + Fail + Copy + Check + Update) applied to all 28 cases would yield 143 activities — exceeding the limit.</w:t>
            </w:r>
          </w:p>
          <w:p>
            <w:pPr>
              <w:spacing w:before="80" w:after="40"/>
            </w:pPr>
            <w:r>
              <w:rPr>
                <w:rFonts w:ascii="Segoe UI" w:hAnsi="Segoe UI"/>
                <w:color w:val="485670"/>
                <w:sz w:val="19"/>
              </w:rPr>
              <w:t>Solution: The 19 compressed and binary cases use a simplified 3-activity pattern (Copy + Check + Update), omitting the Validate_Watermark guard. The 9 original uncompressed cases retain the full 5-activity pattern. Total: 9x5 + 19x3 + 3 = 105 activities. The omission is accepted given that metadata referential integrity should prevent null watermark states in practice.</w:t>
            </w:r>
          </w:p>
          <w:p>
            <w:pPr>
              <w:spacing w:before="80" w:after="80"/>
              <w:shd w:val="clear" w:color="auto" w:fill="F5D0D0"/>
            </w:pPr>
            <w:r>
              <w:rPr>
                <w:rFonts w:ascii="Cascadia Code" w:hAnsi="Cascadia Code"/>
                <w:color w:val="991B1B"/>
                <w:sz w:val="16"/>
              </w:rPr>
              <w:t>9 original cases  x  5 activities  =   45</w:t>
              <w:br/>
              <w:t>19 compressed/binary  x  3 activities  =   57</w:t>
              <w:br/>
              <w:t>3 outer (Lookup + ForEach + Switch)    =    3</w:t>
              <w:br/>
              <w:t>Total                                  = 105  (limit: 120)</w:t>
            </w:r>
          </w:p>
          <w:p>
            <w:pPr>
              <w:spacing w:before="120" w:after="120"/>
              <w:pBdr>
                <w:top w:val="single" w:sz="4" w:space="2" w:color="991B1B"/>
              </w:pBdr>
            </w:pPr>
            <w:r>
              <w:rPr>
                <w:rFonts w:ascii="Segoe UI" w:hAnsi="Segoe UI"/>
                <w:b/>
                <w:color w:val="991B1B"/>
                <w:sz w:val="17"/>
              </w:rPr>
              <w:t xml:space="preserve">Scope:  </w:t>
            </w:r>
            <w:r>
              <w:rPr>
                <w:rFonts w:ascii="Segoe UI" w:hAnsi="Segoe UI"/>
                <w:color w:val="6A788F"/>
                <w:sz w:val="17"/>
              </w:rPr>
              <w:t>PL_ADLS_ADLS_INCREMENTAL_INGRESS only | No constraint on other pipelines</w:t>
            </w:r>
          </w:p>
        </w:tc>
      </w:tr>
    </w:tbl>
    <w:p/>
    <w:p>
      <w:pPr>
        <w:spacing w:before="360" w:after="120"/>
        <w:pBdr>
          <w:bottom w:val="single" w:sz="4" w:space="3" w:color="E3EFF9"/>
        </w:pBdr>
      </w:pPr>
      <w:r>
        <w:rPr>
          <w:rFonts w:ascii="Segoe UI Semibold" w:hAnsi="Segoe UI Semibold"/>
          <w:b/>
          <w:color w:val="1B2238"/>
          <w:sz w:val="26"/>
        </w:rPr>
        <w:t>Watermark Update — Script Activity</w:t>
      </w:r>
    </w:p>
    <w:p>
      <w:pPr>
        <w:spacing w:after="100"/>
      </w:pPr>
      <w:r>
        <w:rPr>
          <w:rFonts w:ascii="Segoe UI" w:hAnsi="Segoe UI"/>
          <w:color w:val="485670"/>
          <w:sz w:val="21"/>
        </w:rPr>
        <w:t>When the zero-rows guard confirms data was transferred, the watermark is advanced via a Script activity (commandType: NonQuery) connected to LS_ASQL_SAMI. All values are dynamically resolved — no watermark coordinates are hardcoded in the pipeline:</w:t>
      </w:r>
    </w:p>
    <w:p>
      <w:pPr>
        <w:spacing w:after="160"/>
        <w:ind w:left="432" w:right="432"/>
        <w:shd w:val="clear" w:color="auto" w:fill="EBF0F8"/>
      </w:pPr>
      <w:r>
        <w:rPr>
          <w:rFonts w:ascii="Cascadia Code" w:hAnsi="Cascadia Code"/>
          <w:color w:val="485670"/>
          <w:sz w:val="17"/>
        </w:rPr>
        <w:t>UPDATE w</w:t>
        <w:br/>
        <w:t>SET    w.Watermark_Value = CONVERT(DATETIME, '&lt;utcNow: yyyy-MM-dd HH:mm:ss&gt;')</w:t>
        <w:br/>
        <w:t>FROM   EDP_Metadata.Watermark w</w:t>
        <w:br/>
        <w:t>JOIN   EDP_Metadata.MetadataRef m ON m.Watermark_ID = w.Watermark_ID</w:t>
        <w:br/>
        <w:t>WHERE  m.Metadata_ID = &lt;item().Metadata_ID&gt;</w:t>
      </w:r>
    </w:p>
    <w:p>
      <w:pPr>
        <w:spacing w:before="360" w:after="40"/>
      </w:pPr>
      <w:r>
        <w:rPr>
          <w:rFonts w:ascii="Segoe UI" w:hAnsi="Segoe UI"/>
          <w:b/>
          <w:color w:val="0B68B0"/>
          <w:sz w:val="15"/>
        </w:rPr>
        <w:t>10 — CONVENTIONS</w:t>
      </w:r>
    </w:p>
    <w:p>
      <w:pPr>
        <w:spacing w:before="80" w:after="200"/>
        <w:pBdr>
          <w:bottom w:val="single" w:sz="8" w:space="4" w:color="E3EFF9"/>
        </w:pBdr>
      </w:pPr>
      <w:r>
        <w:rPr>
          <w:rFonts w:ascii="Segoe UI Semibold" w:hAnsi="Segoe UI Semibold"/>
          <w:b/>
          <w:color w:val="1B2238"/>
          <w:sz w:val="44"/>
        </w:rPr>
        <w:t>Naming Conventions</w:t>
      </w:r>
    </w:p>
    <w:p>
      <w:pPr>
        <w:spacing w:after="100"/>
      </w:pPr>
      <w:r>
        <w:rPr>
          <w:rFonts w:ascii="Segoe UI" w:hAnsi="Segoe UI"/>
          <w:color w:val="485670"/>
          <w:sz w:val="21"/>
        </w:rPr>
        <w:t>All ADF artifact names are derived from metadata, not manually assigned. The MasterRef view computes pipeline names and switch case references at runtime from the source, target, load type, and connector combination registered in the reference tables.</w:t>
      </w:r>
    </w:p>
    <w:p>
      <w:pPr>
        <w:spacing w:before="360" w:after="120"/>
        <w:pBdr>
          <w:bottom w:val="single" w:sz="4" w:space="3" w:color="E3EFF9"/>
        </w:pBdr>
      </w:pPr>
      <w:r>
        <w:rPr>
          <w:rFonts w:ascii="Segoe UI Semibold" w:hAnsi="Segoe UI Semibold"/>
          <w:b/>
          <w:color w:val="1B2238"/>
          <w:sz w:val="26"/>
        </w:rPr>
        <w:t>Pipeline Name</w:t>
      </w:r>
    </w:p>
    <w:p>
      <w:pPr>
        <w:spacing w:after="160"/>
        <w:ind w:left="432" w:right="432"/>
        <w:shd w:val="clear" w:color="auto" w:fill="EBF0F8"/>
      </w:pPr>
      <w:r>
        <w:rPr>
          <w:rFonts w:ascii="Cascadia Code" w:hAnsi="Cascadia Code"/>
          <w:color w:val="485670"/>
          <w:sz w:val="17"/>
        </w:rPr>
        <w:t>PL_{InputSource}_{OutputSource}_{FULL|INCREMENTAL}_{INGRESS|EGRESS}</w:t>
        <w:br/>
        <w:br/>
        <w:t>Examples:</w:t>
        <w:br/>
        <w:t xml:space="preserve">  PL_ASQL_ADLS_FULL_INGRESS          Full refresh, Azure SQL -&gt; ADLS Gen2</w:t>
        <w:br/>
        <w:t xml:space="preserve">  PL_ASQL_ADLS_INCREMENTAL_INGRESS   Incremental, Azure SQL -&gt; ADLS Gen2</w:t>
        <w:br/>
        <w:t xml:space="preserve">  PL_ADLS_ADLS_FULL_INGRESS          Full refresh, ADLS Gen2 -&gt; ADLS Gen2</w:t>
        <w:br/>
        <w:t xml:space="preserve">  PL_ADLS_ADLS_INCREMENTAL_INGRESS   Incremental, ADLS Gen2 -&gt; ADLS Gen2</w:t>
      </w:r>
    </w:p>
    <w:p>
      <w:pPr>
        <w:spacing w:before="360" w:after="120"/>
        <w:pBdr>
          <w:bottom w:val="single" w:sz="4" w:space="3" w:color="E3EFF9"/>
        </w:pBdr>
      </w:pPr>
      <w:r>
        <w:rPr>
          <w:rFonts w:ascii="Segoe UI Semibold" w:hAnsi="Segoe UI Semibold"/>
          <w:b/>
          <w:color w:val="1B2238"/>
          <w:sz w:val="26"/>
        </w:rPr>
        <w:t>Dataset Name</w:t>
      </w:r>
    </w:p>
    <w:p>
      <w:pPr>
        <w:spacing w:after="160"/>
        <w:ind w:left="432" w:right="432"/>
        <w:shd w:val="clear" w:color="auto" w:fill="EBF0F8"/>
      </w:pPr>
      <w:r>
        <w:rPr>
          <w:rFonts w:ascii="Cascadia Code" w:hAnsi="Cascadia Code"/>
          <w:color w:val="485670"/>
          <w:sz w:val="17"/>
        </w:rPr>
        <w:t>DS_{Source_Ref}_{Format}</w:t>
        <w:br/>
        <w:br/>
        <w:t>Examples:</w:t>
        <w:br/>
        <w:t xml:space="preserve">  DS_ADLS_CSV            ADLS Gen2, CSV (uncompressed)</w:t>
        <w:br/>
        <w:t xml:space="preserve">  DS_ADLS_GZIP_CSV       ADLS Gen2, CSV, GZIP compressed</w:t>
        <w:br/>
        <w:t xml:space="preserve">  DS_ADLS_ZIP_CSV        ADLS Gen2, CSV, ZIP (ZipDeflate) compressed</w:t>
        <w:br/>
        <w:t xml:space="preserve">  DS_ADLS_TARGZIP_CSV    ADLS Gen2, CSV, TarGzip compressed</w:t>
        <w:br/>
        <w:t xml:space="preserve">  DS_ADLS_GZIP_JSON      ADLS Gen2, JSON, GZIP compressed</w:t>
        <w:br/>
        <w:t xml:space="preserve">  DS_ADLS_BINARY         ADLS Gen2, binary pass-through</w:t>
        <w:br/>
        <w:t xml:space="preserve">  DS_ASQL_TABLE          Azure SQL -- table-based, no file format</w:t>
      </w:r>
    </w:p>
    <w:p>
      <w:pPr>
        <w:spacing w:before="360" w:after="120"/>
        <w:pBdr>
          <w:bottom w:val="single" w:sz="4" w:space="3" w:color="E3EFF9"/>
        </w:pBdr>
      </w:pPr>
      <w:r>
        <w:rPr>
          <w:rFonts w:ascii="Segoe UI Semibold" w:hAnsi="Segoe UI Semibold"/>
          <w:b/>
          <w:color w:val="1B2238"/>
          <w:sz w:val="26"/>
        </w:rPr>
        <w:t>Linked Service Name</w:t>
      </w:r>
    </w:p>
    <w:p>
      <w:pPr>
        <w:spacing w:after="160"/>
        <w:ind w:left="432" w:right="432"/>
        <w:shd w:val="clear" w:color="auto" w:fill="EBF0F8"/>
      </w:pPr>
      <w:r>
        <w:rPr>
          <w:rFonts w:ascii="Cascadia Code" w:hAnsi="Cascadia Code"/>
          <w:color w:val="485670"/>
          <w:sz w:val="17"/>
        </w:rPr>
        <w:t>LS_{Source_Ref}_{Auth_Ref}</w:t>
        <w:br/>
        <w:br/>
        <w:t>Examples:</w:t>
        <w:br/>
        <w:t xml:space="preserve">  LS_ADLS_SAMI   ADLS Gen2, System-Assigned Managed Identity</w:t>
        <w:br/>
        <w:t xml:space="preserve">  LS_ASQL_SAMI   Azure SQL, System-Assigned Managed Identity (v2.0)</w:t>
        <w:br/>
        <w:t xml:space="preserve">  LS_SFTP_BASIC  SFTP, Basic (username/password) authentication</w:t>
      </w:r>
    </w:p>
    <w:p>
      <w:pPr>
        <w:spacing w:before="360" w:after="120"/>
        <w:pBdr>
          <w:bottom w:val="single" w:sz="4" w:space="3" w:color="E3EFF9"/>
        </w:pBdr>
      </w:pPr>
      <w:r>
        <w:rPr>
          <w:rFonts w:ascii="Segoe UI Semibold" w:hAnsi="Segoe UI Semibold"/>
          <w:b/>
          <w:color w:val="1B2238"/>
          <w:sz w:val="26"/>
        </w:rPr>
        <w:t>Switch Case Reference</w:t>
      </w:r>
    </w:p>
    <w:p>
      <w:pPr>
        <w:spacing w:after="160"/>
        <w:ind w:left="432" w:right="432"/>
        <w:shd w:val="clear" w:color="auto" w:fill="EBF0F8"/>
      </w:pPr>
      <w:r>
        <w:rPr>
          <w:rFonts w:ascii="Cascadia Code" w:hAnsi="Cascadia Code"/>
          <w:color w:val="485670"/>
          <w:sz w:val="17"/>
        </w:rPr>
        <w:t>SW_{InputLinkedService}_{InputFormat}_{OutputLinkedService}_{OutputFormat}</w:t>
        <w:br/>
        <w:t xml:space="preserve">  (LinkedService = LS name with leading "LS_" removed)</w:t>
        <w:br/>
        <w:br/>
        <w:t>Examples:</w:t>
        <w:br/>
        <w:t xml:space="preserve">  SW_ASQL_SAMI_TABLE_ADLS_SAMI_CSV         Azure SQL -&gt; ADLS CSV</w:t>
        <w:br/>
        <w:t xml:space="preserve">  SW_ADLS_SAMI_GZIP_CSV_ADLS_SAMI_PARQUET  ADLS GZIP-CSV -&gt; ADLS Parquet</w:t>
        <w:br/>
        <w:t xml:space="preserve">  SW_ADLS_SAMI_BINARY_ADLS_SAMI_BINARY     ADLS binary pass-through</w:t>
      </w:r>
    </w:p>
    <w:p>
      <w:pPr>
        <w:spacing w:before="360" w:after="40"/>
      </w:pPr>
      <w:r>
        <w:rPr>
          <w:rFonts w:ascii="Segoe UI" w:hAnsi="Segoe UI"/>
          <w:b/>
          <w:color w:val="0B68B0"/>
          <w:sz w:val="15"/>
        </w:rPr>
        <w:t>11 — DESIGN</w:t>
      </w:r>
    </w:p>
    <w:p>
      <w:pPr>
        <w:spacing w:before="80" w:after="200"/>
        <w:pBdr>
          <w:bottom w:val="single" w:sz="8" w:space="4" w:color="E3EFF9"/>
        </w:pBdr>
      </w:pPr>
      <w:r>
        <w:rPr>
          <w:rFonts w:ascii="Segoe UI Semibold" w:hAnsi="Segoe UI Semibold"/>
          <w:b/>
          <w:color w:val="1B2238"/>
          <w:sz w:val="44"/>
        </w:rPr>
        <w:t>Design Principles</w:t>
      </w:r>
    </w:p>
    <w:p>
      <w:pPr>
        <w:spacing w:after="100"/>
        <w:ind w:left="216"/>
      </w:pPr>
      <w:r>
        <w:rPr>
          <w:rFonts w:ascii="Segoe UI" w:hAnsi="Segoe UI"/>
          <w:b/>
          <w:color w:val="1B2238"/>
          <w:sz w:val="21"/>
        </w:rPr>
        <w:t xml:space="preserve">Metadata-Driven Architecture:  </w:t>
      </w:r>
      <w:r>
        <w:rPr>
          <w:rFonts w:ascii="Segoe UI" w:hAnsi="Segoe UI"/>
          <w:color w:val="485670"/>
          <w:sz w:val="21"/>
        </w:rPr>
        <w:t>Pipeline behaviour is fully parameterized. No source path, connection detail, file format, or load type is hardcoded in any ADF pipeline definition. All execution decisions are resolved at runtime from the metadata control plane.</w:t>
      </w:r>
    </w:p>
    <w:p>
      <w:pPr>
        <w:spacing w:after="100"/>
        <w:ind w:left="216"/>
      </w:pPr>
      <w:r>
        <w:rPr>
          <w:rFonts w:ascii="Segoe UI" w:hAnsi="Segoe UI"/>
          <w:b/>
          <w:color w:val="1B2238"/>
          <w:sz w:val="21"/>
        </w:rPr>
        <w:t xml:space="preserve">Separation of Configuration from Execution:  </w:t>
      </w:r>
      <w:r>
        <w:rPr>
          <w:rFonts w:ascii="Segoe UI" w:hAnsi="Segoe UI"/>
          <w:color w:val="485670"/>
          <w:sz w:val="21"/>
        </w:rPr>
        <w:t>The metadata layer owns what to do; ADF owns how to do it. Operational and configuration changes require no pipeline modification or redeployment — they are made purely in the metadata.</w:t>
      </w:r>
    </w:p>
    <w:p>
      <w:pPr>
        <w:spacing w:after="100"/>
        <w:ind w:left="216"/>
      </w:pPr>
      <w:r>
        <w:rPr>
          <w:rFonts w:ascii="Segoe UI" w:hAnsi="Segoe UI"/>
          <w:b/>
          <w:color w:val="1B2238"/>
          <w:sz w:val="21"/>
        </w:rPr>
        <w:t xml:space="preserve">Single Source of Truth:  </w:t>
      </w:r>
      <w:r>
        <w:rPr>
          <w:rFonts w:ascii="Segoe UI" w:hAnsi="Segoe UI"/>
          <w:color w:val="485670"/>
          <w:sz w:val="21"/>
        </w:rPr>
        <w:t>All ingestion configuration lives in EDP_Metadata.MetadataRef. No configuration is duplicated across pipelines, environments, or teams. The MasterRef view exposes a complete denormalized runtime view over this single source.</w:t>
      </w:r>
    </w:p>
    <w:p>
      <w:pPr>
        <w:spacing w:after="100"/>
        <w:ind w:left="216"/>
      </w:pPr>
      <w:r>
        <w:rPr>
          <w:rFonts w:ascii="Segoe UI" w:hAnsi="Segoe UI"/>
          <w:b/>
          <w:color w:val="1B2238"/>
          <w:sz w:val="21"/>
        </w:rPr>
        <w:t xml:space="preserve">Centralised Operational Control:  </w:t>
      </w:r>
      <w:r>
        <w:rPr>
          <w:rFonts w:ascii="Segoe UI" w:hAnsi="Segoe UI"/>
          <w:color w:val="485670"/>
          <w:sz w:val="21"/>
        </w:rPr>
        <w:t>The IsActive flag provides a master on/off switch for any ingestion job without touching ADF triggers or pipeline definitions. Operational state is managed in data, not in infrastructure.</w:t>
      </w:r>
    </w:p>
    <w:p>
      <w:pPr>
        <w:spacing w:after="100"/>
        <w:ind w:left="216"/>
      </w:pPr>
      <w:r>
        <w:rPr>
          <w:rFonts w:ascii="Segoe UI" w:hAnsi="Segoe UI"/>
          <w:b/>
          <w:color w:val="1B2238"/>
          <w:sz w:val="21"/>
        </w:rPr>
        <w:t xml:space="preserve">Convention over Configuration:  </w:t>
      </w:r>
      <w:r>
        <w:rPr>
          <w:rFonts w:ascii="Segoe UI" w:hAnsi="Segoe UI"/>
          <w:color w:val="485670"/>
          <w:sz w:val="21"/>
        </w:rPr>
        <w:t>Strict, computed naming conventions for pipelines, datasets, linked services, and switch cases are enforced by the metadata schema. Consistent naming enables automated operational tooling.</w:t>
      </w:r>
    </w:p>
    <w:p>
      <w:pPr>
        <w:spacing w:after="100"/>
        <w:ind w:left="216"/>
      </w:pPr>
      <w:r>
        <w:rPr>
          <w:rFonts w:ascii="Segoe UI" w:hAnsi="Segoe UI"/>
          <w:b/>
          <w:color w:val="1B2238"/>
          <w:sz w:val="21"/>
        </w:rPr>
        <w:t xml:space="preserve">Auditability by Design:  </w:t>
      </w:r>
      <w:r>
        <w:rPr>
          <w:rFonts w:ascii="Segoe UI" w:hAnsi="Segoe UI"/>
          <w:color w:val="485670"/>
          <w:sz w:val="21"/>
        </w:rPr>
        <w:t>Every row in MetadataRef carries Created_Date, Modified_Date, and Modified_By — populated automatically by database defaults. Configuration change history is inherent to the data model.</w:t>
      </w:r>
    </w:p>
    <w:p>
      <w:pPr>
        <w:spacing w:after="100"/>
        <w:ind w:left="216"/>
      </w:pPr>
      <w:r>
        <w:rPr>
          <w:rFonts w:ascii="Segoe UI" w:hAnsi="Segoe UI"/>
          <w:b/>
          <w:color w:val="1B2238"/>
          <w:sz w:val="21"/>
        </w:rPr>
        <w:t xml:space="preserve">Defensive Incremental Loading:  </w:t>
      </w:r>
      <w:r>
        <w:rPr>
          <w:rFonts w:ascii="Segoe UI" w:hAnsi="Segoe UI"/>
          <w:color w:val="485670"/>
          <w:sz w:val="21"/>
        </w:rPr>
        <w:t>Incremental pipelines implement explicit guards: null watermark validation (WM001), zero-rows checks before advancing the boundary (ZR001), and Succeeded dependency conditions on watermark updates (CF001). Watermarks are never advanced on failure or empty results.</w:t>
      </w:r>
    </w:p>
    <w:p>
      <w:pPr>
        <w:spacing w:after="100"/>
        <w:ind w:left="216"/>
      </w:pPr>
      <w:r>
        <w:rPr>
          <w:rFonts w:ascii="Segoe UI" w:hAnsi="Segoe UI"/>
          <w:b/>
          <w:color w:val="1B2238"/>
          <w:sz w:val="21"/>
        </w:rPr>
        <w:t xml:space="preserve">Extensibility:  </w:t>
      </w:r>
      <w:r>
        <w:rPr>
          <w:rFonts w:ascii="Segoe UI" w:hAnsi="Segoe UI"/>
          <w:color w:val="485670"/>
          <w:sz w:val="21"/>
        </w:rPr>
        <w:t>Adding a new data source, file format, or authentication type requires only inserting reference rows into the appropriate lookup tables. The generic pipeline accommodates new combinations without modification.</w:t>
      </w:r>
    </w:p>
    <w:p>
      <w:pPr>
        <w:spacing w:after="100"/>
        <w:ind w:left="216"/>
      </w:pPr>
      <w:r>
        <w:rPr>
          <w:rFonts w:ascii="Segoe UI" w:hAnsi="Segoe UI"/>
          <w:b/>
          <w:color w:val="1B2238"/>
          <w:sz w:val="21"/>
        </w:rPr>
        <w:t xml:space="preserve">Idempotent Infrastructure:  </w:t>
      </w:r>
      <w:r>
        <w:rPr>
          <w:rFonts w:ascii="Segoe UI" w:hAnsi="Segoe UI"/>
          <w:color w:val="485670"/>
          <w:sz w:val="21"/>
        </w:rPr>
        <w:t>All DDL scripts use IF NOT EXISTS guards. The schema can be safely re-applied across environments — development, test, production — without destructive side effects.</w:t>
      </w:r>
    </w:p>
    <w:p>
      <w:pPr>
        <w:spacing w:before="360" w:after="40"/>
      </w:pPr>
      <w:r>
        <w:rPr>
          <w:rFonts w:ascii="Segoe UI" w:hAnsi="Segoe UI"/>
          <w:b/>
          <w:color w:val="0B68B0"/>
          <w:sz w:val="15"/>
        </w:rPr>
        <w:t>12 — GOVERNANCE</w:t>
      </w:r>
    </w:p>
    <w:p>
      <w:pPr>
        <w:spacing w:before="80" w:after="200"/>
        <w:pBdr>
          <w:bottom w:val="single" w:sz="8" w:space="4" w:color="E3EFF9"/>
        </w:pBdr>
      </w:pPr>
      <w:r>
        <w:rPr>
          <w:rFonts w:ascii="Segoe UI Semibold" w:hAnsi="Segoe UI Semibold"/>
          <w:b/>
          <w:color w:val="1B2238"/>
          <w:sz w:val="44"/>
        </w:rPr>
        <w:t>Data Fabric Alignment</w:t>
      </w:r>
    </w:p>
    <w:p>
      <w:pPr>
        <w:spacing w:after="100"/>
      </w:pPr>
      <w:r>
        <w:rPr>
          <w:rFonts w:ascii="Segoe UI" w:hAnsi="Segoe UI"/>
          <w:color w:val="485670"/>
          <w:sz w:val="21"/>
        </w:rPr>
        <w:t>The framework aligns with several foundational principles of modern Data Fabric architecture, specifically those concerned with active metadata management, unified cataloguing, and governed connectivity.</w:t>
      </w:r>
    </w:p>
    <w:tbl>
      <w:tblPr>
        <w:tblStyle w:val="TableGrid"/>
        <w:tblW w:type="auto" w:w="0"/>
        <w:jc w:val="left"/>
        <w:tblLook w:firstColumn="1" w:firstRow="1" w:lastColumn="0" w:lastRow="0" w:noHBand="0" w:noVBand="1" w:val="04A0"/>
      </w:tblPr>
      <w:tblGrid>
        <w:gridCol w:w="4392"/>
        <w:gridCol w:w="4392"/>
      </w:tblGrid>
      <w:tr>
        <w:tc>
          <w:tcPr>
            <w:tcW w:type="dxa" w:w="3168"/>
            <w:shd w:val="clear" w:color="auto" w:fill="EBF0F8"/>
          </w:tcPr>
          <w:p>
            <w:pPr>
              <w:spacing w:before="60" w:after="60"/>
            </w:pPr>
            <w:r>
              <w:rPr>
                <w:rFonts w:ascii="Segoe UI" w:hAnsi="Segoe UI"/>
                <w:b/>
                <w:color w:val="6A788F"/>
                <w:sz w:val="15"/>
              </w:rPr>
              <w:t>DATA FABRIC PRINCIPLE</w:t>
            </w:r>
          </w:p>
        </w:tc>
        <w:tc>
          <w:tcPr>
            <w:tcW w:type="dxa" w:w="6624"/>
            <w:shd w:val="clear" w:color="auto" w:fill="EBF0F8"/>
          </w:tcPr>
          <w:p>
            <w:pPr>
              <w:spacing w:before="60" w:after="60"/>
            </w:pPr>
            <w:r>
              <w:rPr>
                <w:rFonts w:ascii="Segoe UI" w:hAnsi="Segoe UI"/>
                <w:b/>
                <w:color w:val="6A788F"/>
                <w:sz w:val="15"/>
              </w:rPr>
              <w:t>HOW THE FRAMEWORK ADDRESSES IT</w:t>
            </w:r>
          </w:p>
        </w:tc>
      </w:tr>
      <w:tr>
        <w:tc>
          <w:tcPr>
            <w:tcW w:type="dxa" w:w="3168"/>
          </w:tcPr>
          <w:p>
            <w:pPr>
              <w:spacing w:before="60" w:after="60"/>
            </w:pPr>
            <w:r>
              <w:rPr>
                <w:rFonts w:ascii="Segoe UI" w:hAnsi="Segoe UI"/>
                <w:color w:val="485670"/>
                <w:sz w:val="19"/>
              </w:rPr>
              <w:t>Active Metadata Management</w:t>
            </w:r>
          </w:p>
        </w:tc>
        <w:tc>
          <w:tcPr>
            <w:tcW w:type="dxa" w:w="6624"/>
          </w:tcPr>
          <w:p>
            <w:pPr>
              <w:spacing w:before="60" w:after="60"/>
            </w:pPr>
            <w:r>
              <w:rPr>
                <w:rFonts w:ascii="Segoe UI" w:hAnsi="Segoe UI"/>
                <w:color w:val="485670"/>
                <w:sz w:val="19"/>
              </w:rPr>
              <w:t>MetadataRef is a live operational control plane — not passive documentation. It actively governs pipeline behaviour at execution time, making metadata the direct engine of data movement.</w:t>
            </w:r>
          </w:p>
        </w:tc>
      </w:tr>
      <w:tr>
        <w:tc>
          <w:tcPr>
            <w:tcW w:type="dxa" w:w="3168"/>
          </w:tcPr>
          <w:p>
            <w:pPr>
              <w:spacing w:before="60" w:after="60"/>
            </w:pPr>
            <w:r>
              <w:rPr>
                <w:rFonts w:ascii="Segoe UI" w:hAnsi="Segoe UI"/>
                <w:color w:val="485670"/>
                <w:sz w:val="19"/>
              </w:rPr>
              <w:t>Unified Data Catalogue</w:t>
            </w:r>
          </w:p>
        </w:tc>
        <w:tc>
          <w:tcPr>
            <w:tcW w:type="dxa" w:w="6624"/>
          </w:tcPr>
          <w:p>
            <w:pPr>
              <w:spacing w:before="60" w:after="60"/>
            </w:pPr>
            <w:r>
              <w:rPr>
                <w:rFonts w:ascii="Segoe UI" w:hAnsi="Segoe UI"/>
                <w:color w:val="485670"/>
                <w:sz w:val="19"/>
              </w:rPr>
              <w:t>All sources, target types, file formats, authentication methods, and connection configurations are centrally registered in the EDP_Metadata schema. No shadow configurations exist outside this registry.</w:t>
            </w:r>
          </w:p>
        </w:tc>
      </w:tr>
      <w:tr>
        <w:tc>
          <w:tcPr>
            <w:tcW w:type="dxa" w:w="3168"/>
          </w:tcPr>
          <w:p>
            <w:pPr>
              <w:spacing w:before="60" w:after="60"/>
            </w:pPr>
            <w:r>
              <w:rPr>
                <w:rFonts w:ascii="Segoe UI" w:hAnsi="Segoe UI"/>
                <w:color w:val="485670"/>
                <w:sz w:val="19"/>
              </w:rPr>
              <w:t>Business Domain Orientation</w:t>
            </w:r>
          </w:p>
        </w:tc>
        <w:tc>
          <w:tcPr>
            <w:tcW w:type="dxa" w:w="6624"/>
          </w:tcPr>
          <w:p>
            <w:pPr>
              <w:spacing w:before="60" w:after="60"/>
            </w:pPr>
            <w:r>
              <w:rPr>
                <w:rFonts w:ascii="Segoe UI" w:hAnsi="Segoe UI"/>
                <w:color w:val="485670"/>
                <w:sz w:val="19"/>
              </w:rPr>
              <w:t>BusinessDomainRef classifies every ingestion job by business function. Every data movement activity is traceable to its owning domain — supporting data product thinking and domain-driven governance.</w:t>
            </w:r>
          </w:p>
        </w:tc>
      </w:tr>
      <w:tr>
        <w:tc>
          <w:tcPr>
            <w:tcW w:type="dxa" w:w="3168"/>
          </w:tcPr>
          <w:p>
            <w:pPr>
              <w:spacing w:before="60" w:after="60"/>
            </w:pPr>
            <w:r>
              <w:rPr>
                <w:rFonts w:ascii="Segoe UI" w:hAnsi="Segoe UI"/>
                <w:color w:val="485670"/>
                <w:sz w:val="19"/>
              </w:rPr>
              <w:t>Governed Connectivity</w:t>
            </w:r>
          </w:p>
        </w:tc>
        <w:tc>
          <w:tcPr>
            <w:tcW w:type="dxa" w:w="6624"/>
          </w:tcPr>
          <w:p>
            <w:pPr>
              <w:spacing w:before="60" w:after="60"/>
            </w:pPr>
            <w:r>
              <w:rPr>
                <w:rFonts w:ascii="Segoe UI" w:hAnsi="Segoe UI"/>
                <w:color w:val="485670"/>
                <w:sz w:val="19"/>
              </w:rPr>
              <w:t>SystemAuth and LinkedServiceRef enforce a structured, centralised approach to connection management. All authentication types and connection templates are catalogued and reused.</w:t>
            </w:r>
          </w:p>
        </w:tc>
      </w:tr>
      <w:tr>
        <w:tc>
          <w:tcPr>
            <w:tcW w:type="dxa" w:w="3168"/>
          </w:tcPr>
          <w:p>
            <w:pPr>
              <w:spacing w:before="60" w:after="60"/>
            </w:pPr>
            <w:r>
              <w:rPr>
                <w:rFonts w:ascii="Segoe UI" w:hAnsi="Segoe UI"/>
                <w:color w:val="485670"/>
                <w:sz w:val="19"/>
              </w:rPr>
              <w:t>Reusable Data Services</w:t>
            </w:r>
          </w:p>
        </w:tc>
        <w:tc>
          <w:tcPr>
            <w:tcW w:type="dxa" w:w="6624"/>
          </w:tcPr>
          <w:p>
            <w:pPr>
              <w:spacing w:before="60" w:after="60"/>
            </w:pPr>
            <w:r>
              <w:rPr>
                <w:rFonts w:ascii="Segoe UI" w:hAnsi="Segoe UI"/>
                <w:color w:val="485670"/>
                <w:sz w:val="19"/>
              </w:rPr>
              <w:t>The generic pipeline layer acts as a reusable data service. The same pipeline infrastructure serves all projects, domains, and customers; variation is expressed purely in metadata records.</w:t>
            </w:r>
          </w:p>
        </w:tc>
      </w:tr>
    </w:tbl>
    <w:p/>
    <w:tbl>
      <w:tblPr>
        <w:tblStyle w:val="TableGrid"/>
        <w:tblW w:type="auto" w:w="0"/>
        <w:jc w:val="left"/>
        <w:tblLook w:firstColumn="1" w:firstRow="1" w:lastColumn="0" w:lastRow="0" w:noHBand="0" w:noVBand="1" w:val="04A0"/>
      </w:tblPr>
      <w:tblGrid>
        <w:gridCol w:w="4392"/>
        <w:gridCol w:w="4392"/>
      </w:tblGrid>
      <w:tr>
        <w:tc>
          <w:tcPr>
            <w:tcW w:type="dxa" w:w="144"/>
            <w:shd w:val="clear" w:color="auto" w:fill="0B68B0"/>
          </w:tcPr>
          <w:p/>
        </w:tc>
        <w:tc>
          <w:tcPr>
            <w:tcW w:type="dxa" w:w="4392"/>
            <w:shd w:val="clear" w:color="auto" w:fill="E3EFF9"/>
          </w:tcPr>
          <w:p>
            <w:pPr>
              <w:spacing w:before="100" w:after="100"/>
            </w:pPr>
            <w:r>
              <w:rPr>
                <w:rFonts w:ascii="Segoe UI" w:hAnsi="Segoe UI"/>
                <w:color w:val="485670"/>
                <w:sz w:val="19"/>
              </w:rPr>
              <w:t>The framework addresses the ingestion layer of a Data Fabric architecture. It is designed to integrate with broader platform components — data catalogues, lineage tools, and data quality frameworks — that complete the fabric.</w:t>
            </w:r>
          </w:p>
        </w:tc>
      </w:tr>
    </w:tbl>
    <w:p/>
    <w:p>
      <w:pPr>
        <w:spacing w:before="360" w:after="40"/>
      </w:pPr>
      <w:r>
        <w:rPr>
          <w:rFonts w:ascii="Segoe UI" w:hAnsi="Segoe UI"/>
          <w:b/>
          <w:color w:val="0B68B0"/>
          <w:sz w:val="15"/>
        </w:rPr>
        <w:t>13 — VALUE</w:t>
      </w:r>
    </w:p>
    <w:p>
      <w:pPr>
        <w:spacing w:before="80" w:after="200"/>
        <w:pBdr>
          <w:bottom w:val="single" w:sz="8" w:space="4" w:color="E3EFF9"/>
        </w:pBdr>
      </w:pPr>
      <w:r>
        <w:rPr>
          <w:rFonts w:ascii="Segoe UI Semibold" w:hAnsi="Segoe UI Semibold"/>
          <w:b/>
          <w:color w:val="1B2238"/>
          <w:sz w:val="44"/>
        </w:rPr>
        <w:t>Benefits</w:t>
      </w:r>
    </w:p>
    <w:p>
      <w:pPr>
        <w:spacing w:before="360" w:after="120"/>
        <w:pBdr>
          <w:bottom w:val="single" w:sz="4" w:space="3" w:color="E3EFF9"/>
        </w:pBdr>
      </w:pPr>
      <w:r>
        <w:rPr>
          <w:rFonts w:ascii="Segoe UI Semibold" w:hAnsi="Segoe UI Semibold"/>
          <w:b/>
          <w:color w:val="1B2238"/>
          <w:sz w:val="26"/>
        </w:rPr>
        <w:t>Operational</w:t>
      </w:r>
    </w:p>
    <w:p>
      <w:pPr>
        <w:pStyle w:val="ListBullet"/>
        <w:spacing w:after="60"/>
        <w:ind w:left="360"/>
      </w:pPr>
      <w:r>
        <w:rPr>
          <w:rFonts w:ascii="Segoe UI" w:hAnsi="Segoe UI"/>
          <w:color w:val="485670"/>
          <w:sz w:val="21"/>
        </w:rPr>
        <w:t>New data source onboarded with a single metadata row — no pipeline build or deployment required</w:t>
      </w:r>
    </w:p>
    <w:p>
      <w:pPr>
        <w:pStyle w:val="ListBullet"/>
        <w:spacing w:after="60"/>
        <w:ind w:left="360"/>
      </w:pPr>
      <w:r>
        <w:rPr>
          <w:rFonts w:ascii="Segoe UI" w:hAnsi="Segoe UI"/>
          <w:color w:val="485670"/>
          <w:sz w:val="21"/>
        </w:rPr>
        <w:t>Centralised on/off control for any ingestion job without touching ADF pipelines or triggers</w:t>
      </w:r>
    </w:p>
    <w:p>
      <w:pPr>
        <w:pStyle w:val="ListBullet"/>
        <w:spacing w:after="60"/>
        <w:ind w:left="360"/>
      </w:pPr>
      <w:r>
        <w:rPr>
          <w:rFonts w:ascii="Segoe UI" w:hAnsi="Segoe UI"/>
          <w:color w:val="485670"/>
          <w:sz w:val="21"/>
        </w:rPr>
        <w:t>Connection and path changes applied in metadata — no pipeline redeployment cycle</w:t>
      </w:r>
    </w:p>
    <w:p>
      <w:pPr>
        <w:pStyle w:val="ListBullet"/>
        <w:spacing w:after="60"/>
        <w:ind w:left="360"/>
      </w:pPr>
      <w:r>
        <w:rPr>
          <w:rFonts w:ascii="Segoe UI" w:hAnsi="Segoe UI"/>
          <w:color w:val="485670"/>
          <w:sz w:val="21"/>
        </w:rPr>
        <w:t>Full visibility of all active ingestion jobs by querying a single control table</w:t>
      </w:r>
    </w:p>
    <w:p>
      <w:pPr>
        <w:pStyle w:val="ListBullet"/>
        <w:spacing w:after="60"/>
        <w:ind w:left="360"/>
      </w:pPr>
      <w:r>
        <w:rPr>
          <w:rFonts w:ascii="Segoe UI" w:hAnsi="Segoe UI"/>
          <w:color w:val="485670"/>
          <w:sz w:val="21"/>
        </w:rPr>
        <w:t>Consistent pipeline behaviour across all sources — one proven pattern, not hundreds of variations</w:t>
      </w:r>
    </w:p>
    <w:p>
      <w:pPr>
        <w:pStyle w:val="ListBullet"/>
        <w:spacing w:after="60"/>
        <w:ind w:left="360"/>
      </w:pPr>
      <w:r>
        <w:rPr>
          <w:rFonts w:ascii="Segoe UI" w:hAnsi="Segoe UI"/>
          <w:color w:val="485670"/>
          <w:sz w:val="21"/>
        </w:rPr>
        <w:t>Factory-level parameters (server, database) managed in one place via ADF Global Parameters</w:t>
      </w:r>
    </w:p>
    <w:p>
      <w:pPr>
        <w:spacing w:before="360" w:after="120"/>
        <w:pBdr>
          <w:bottom w:val="single" w:sz="4" w:space="3" w:color="E3EFF9"/>
        </w:pBdr>
      </w:pPr>
      <w:r>
        <w:rPr>
          <w:rFonts w:ascii="Segoe UI Semibold" w:hAnsi="Segoe UI Semibold"/>
          <w:b/>
          <w:color w:val="1B2238"/>
          <w:sz w:val="26"/>
        </w:rPr>
        <w:t>Engineering</w:t>
      </w:r>
    </w:p>
    <w:p>
      <w:pPr>
        <w:pStyle w:val="ListBullet"/>
        <w:spacing w:after="60"/>
        <w:ind w:left="360"/>
      </w:pPr>
      <w:r>
        <w:rPr>
          <w:rFonts w:ascii="Segoe UI" w:hAnsi="Segoe UI"/>
          <w:color w:val="485670"/>
          <w:sz w:val="21"/>
        </w:rPr>
        <w:t>Dramatically reduced pipeline maintenance surface — one generic pipeline replaces one-per-source</w:t>
      </w:r>
    </w:p>
    <w:p>
      <w:pPr>
        <w:pStyle w:val="ListBullet"/>
        <w:spacing w:after="60"/>
        <w:ind w:left="360"/>
      </w:pPr>
      <w:r>
        <w:rPr>
          <w:rFonts w:ascii="Segoe UI" w:hAnsi="Segoe UI"/>
          <w:color w:val="485670"/>
          <w:sz w:val="21"/>
        </w:rPr>
        <w:t>Environment portability — the same pipelines run across dev, test, and production with different metadata records</w:t>
      </w:r>
    </w:p>
    <w:p>
      <w:pPr>
        <w:pStyle w:val="ListBullet"/>
        <w:spacing w:after="60"/>
        <w:ind w:left="360"/>
      </w:pPr>
      <w:r>
        <w:rPr>
          <w:rFonts w:ascii="Segoe UI" w:hAnsi="Segoe UI"/>
          <w:color w:val="485670"/>
          <w:sz w:val="21"/>
        </w:rPr>
        <w:t>Full Refresh and Incremental patterns supported from a single framework with no pipeline duplication</w:t>
      </w:r>
    </w:p>
    <w:p>
      <w:pPr>
        <w:pStyle w:val="ListBullet"/>
        <w:spacing w:after="60"/>
        <w:ind w:left="360"/>
      </w:pPr>
      <w:r>
        <w:rPr>
          <w:rFonts w:ascii="Segoe UI" w:hAnsi="Segoe UI"/>
          <w:color w:val="485670"/>
          <w:sz w:val="21"/>
        </w:rPr>
        <w:t>Compressed source files (GZIP, ZIP, TarGzip) and binary pass-through handled via dedicated datasets — no pipeline changes required</w:t>
      </w:r>
    </w:p>
    <w:p>
      <w:pPr>
        <w:pStyle w:val="ListBullet"/>
        <w:spacing w:after="60"/>
        <w:ind w:left="360"/>
      </w:pPr>
      <w:r>
        <w:rPr>
          <w:rFonts w:ascii="Segoe UI" w:hAnsi="Segoe UI"/>
          <w:color w:val="485670"/>
          <w:sz w:val="21"/>
        </w:rPr>
        <w:t>Enforced naming conventions enable automated tooling, monitoring dashboards, and documentation generation</w:t>
      </w:r>
    </w:p>
    <w:p>
      <w:pPr>
        <w:pStyle w:val="ListBullet"/>
        <w:spacing w:after="60"/>
        <w:ind w:left="360"/>
      </w:pPr>
      <w:r>
        <w:rPr>
          <w:rFonts w:ascii="Segoe UI" w:hAnsi="Segoe UI"/>
          <w:color w:val="485670"/>
          <w:sz w:val="21"/>
        </w:rPr>
        <w:t>Idempotent DDL supports safe schema deployment and controlled schema evolution across environments</w:t>
      </w:r>
    </w:p>
    <w:p>
      <w:pPr>
        <w:spacing w:before="360" w:after="120"/>
        <w:pBdr>
          <w:bottom w:val="single" w:sz="4" w:space="3" w:color="E3EFF9"/>
        </w:pBdr>
      </w:pPr>
      <w:r>
        <w:rPr>
          <w:rFonts w:ascii="Segoe UI Semibold" w:hAnsi="Segoe UI Semibold"/>
          <w:b/>
          <w:color w:val="1B2238"/>
          <w:sz w:val="26"/>
        </w:rPr>
        <w:t>Resilience &amp; Governance</w:t>
      </w:r>
    </w:p>
    <w:p>
      <w:pPr>
        <w:pStyle w:val="ListBullet"/>
        <w:spacing w:after="60"/>
        <w:ind w:left="360"/>
      </w:pPr>
      <w:r>
        <w:rPr>
          <w:rFonts w:ascii="Segoe UI" w:hAnsi="Segoe UI"/>
          <w:color w:val="485670"/>
          <w:sz w:val="21"/>
        </w:rPr>
        <w:t>Null watermark guard (WM001) prevents unfiltered full-table reads on misconfigured incremental jobs</w:t>
      </w:r>
    </w:p>
    <w:p>
      <w:pPr>
        <w:pStyle w:val="ListBullet"/>
        <w:spacing w:after="60"/>
        <w:ind w:left="360"/>
      </w:pPr>
      <w:r>
        <w:rPr>
          <w:rFonts w:ascii="Segoe UI" w:hAnsi="Segoe UI"/>
          <w:color w:val="485670"/>
          <w:sz w:val="21"/>
        </w:rPr>
        <w:t>Zero-rows guard (ZR001) ensures watermark is only advanced when data was actually transferred</w:t>
      </w:r>
    </w:p>
    <w:p>
      <w:pPr>
        <w:pStyle w:val="ListBullet"/>
        <w:spacing w:after="60"/>
        <w:ind w:left="360"/>
      </w:pPr>
      <w:r>
        <w:rPr>
          <w:rFonts w:ascii="Segoe UI" w:hAnsi="Segoe UI"/>
          <w:color w:val="485670"/>
          <w:sz w:val="21"/>
        </w:rPr>
        <w:t>Copy failure dependency (CF001) ensures watermark is never advanced on a failed run — retry picks up from the same boundary</w:t>
      </w:r>
    </w:p>
    <w:p>
      <w:pPr>
        <w:pStyle w:val="ListBullet"/>
        <w:spacing w:after="60"/>
        <w:ind w:left="360"/>
      </w:pPr>
      <w:r>
        <w:rPr>
          <w:rFonts w:ascii="Segoe UI" w:hAnsi="Segoe UI"/>
          <w:color w:val="485670"/>
          <w:sz w:val="21"/>
        </w:rPr>
        <w:t>Audit trail on every ingestion job — who configured what, and when</w:t>
      </w:r>
    </w:p>
    <w:p>
      <w:pPr>
        <w:pStyle w:val="ListBullet"/>
        <w:spacing w:after="60"/>
        <w:ind w:left="360"/>
      </w:pPr>
      <w:r>
        <w:rPr>
          <w:rFonts w:ascii="Segoe UI" w:hAnsi="Segoe UI"/>
          <w:color w:val="485670"/>
          <w:sz w:val="21"/>
        </w:rPr>
        <w:t>Business domain classification on every job — supports data lineage and ownership tracking</w:t>
      </w:r>
    </w:p>
    <w:p>
      <w:pPr>
        <w:pStyle w:val="ListBullet"/>
        <w:spacing w:after="60"/>
        <w:ind w:left="360"/>
      </w:pPr>
      <w:r>
        <w:rPr>
          <w:rFonts w:ascii="Segoe UI" w:hAnsi="Segoe UI"/>
          <w:color w:val="485670"/>
          <w:sz w:val="21"/>
        </w:rPr>
        <w:t>Centralised watermark state — incremental load boundaries are visible and auditable across all jobs</w:t>
      </w:r>
    </w:p>
    <w:p>
      <w:pPr>
        <w:spacing w:before="360" w:after="40"/>
      </w:pPr>
      <w:r>
        <w:rPr>
          <w:rFonts w:ascii="Segoe UI" w:hAnsi="Segoe UI"/>
          <w:b/>
          <w:color w:val="0B68B0"/>
          <w:sz w:val="15"/>
        </w:rPr>
        <w:t>APPENDIX</w:t>
      </w:r>
    </w:p>
    <w:p>
      <w:pPr>
        <w:spacing w:before="80" w:after="200"/>
        <w:pBdr>
          <w:bottom w:val="single" w:sz="8" w:space="4" w:color="E3EFF9"/>
        </w:pBdr>
      </w:pPr>
      <w:r>
        <w:rPr>
          <w:rFonts w:ascii="Segoe UI Semibold" w:hAnsi="Segoe UI Semibold"/>
          <w:b/>
          <w:color w:val="1B2238"/>
          <w:sz w:val="44"/>
        </w:rPr>
        <w:t>Schema Quick Reference</w:t>
      </w:r>
    </w:p>
    <w:tbl>
      <w:tblPr>
        <w:tblStyle w:val="TableGrid"/>
        <w:tblW w:type="auto" w:w="0"/>
        <w:jc w:val="left"/>
        <w:tblLook w:firstColumn="1" w:firstRow="1" w:lastColumn="0" w:lastRow="0" w:noHBand="0" w:noVBand="1" w:val="04A0"/>
      </w:tblPr>
      <w:tblGrid>
        <w:gridCol w:w="2196"/>
        <w:gridCol w:w="2196"/>
        <w:gridCol w:w="2196"/>
        <w:gridCol w:w="2196"/>
      </w:tblGrid>
      <w:tr>
        <w:tc>
          <w:tcPr>
            <w:tcW w:type="dxa" w:w="3024"/>
            <w:shd w:val="clear" w:color="auto" w:fill="EBF0F8"/>
          </w:tcPr>
          <w:p>
            <w:pPr>
              <w:spacing w:before="60" w:after="60"/>
            </w:pPr>
            <w:r>
              <w:rPr>
                <w:rFonts w:ascii="Segoe UI" w:hAnsi="Segoe UI"/>
                <w:b/>
                <w:color w:val="6A788F"/>
                <w:sz w:val="15"/>
              </w:rPr>
              <w:t>OBJECT</w:t>
            </w:r>
          </w:p>
        </w:tc>
        <w:tc>
          <w:tcPr>
            <w:tcW w:type="dxa" w:w="1008"/>
            <w:shd w:val="clear" w:color="auto" w:fill="EBF0F8"/>
          </w:tcPr>
          <w:p>
            <w:pPr>
              <w:spacing w:before="60" w:after="60"/>
            </w:pPr>
            <w:r>
              <w:rPr>
                <w:rFonts w:ascii="Segoe UI" w:hAnsi="Segoe UI"/>
                <w:b/>
                <w:color w:val="6A788F"/>
                <w:sz w:val="15"/>
              </w:rPr>
              <w:t>TYPE</w:t>
            </w:r>
          </w:p>
        </w:tc>
        <w:tc>
          <w:tcPr>
            <w:tcW w:type="dxa" w:w="3600"/>
            <w:shd w:val="clear" w:color="auto" w:fill="EBF0F8"/>
          </w:tcPr>
          <w:p>
            <w:pPr>
              <w:spacing w:before="60" w:after="60"/>
            </w:pPr>
            <w:r>
              <w:rPr>
                <w:rFonts w:ascii="Segoe UI" w:hAnsi="Segoe UI"/>
                <w:b/>
                <w:color w:val="6A788F"/>
                <w:sz w:val="15"/>
              </w:rPr>
              <w:t>PURPOSE</w:t>
            </w:r>
          </w:p>
        </w:tc>
        <w:tc>
          <w:tcPr>
            <w:tcW w:type="dxa" w:w="3600"/>
            <w:shd w:val="clear" w:color="auto" w:fill="EBF0F8"/>
          </w:tcPr>
          <w:p>
            <w:pPr>
              <w:spacing w:before="60" w:after="60"/>
            </w:pPr>
            <w:r>
              <w:rPr>
                <w:rFonts w:ascii="Segoe UI" w:hAnsi="Segoe UI"/>
                <w:b/>
                <w:color w:val="6A788F"/>
                <w:sz w:val="15"/>
              </w:rPr>
              <w:t>ADF ROLE</w:t>
            </w:r>
          </w:p>
        </w:tc>
      </w:tr>
      <w:tr>
        <w:tc>
          <w:tcPr>
            <w:tcW w:type="dxa" w:w="3024"/>
          </w:tcPr>
          <w:p>
            <w:pPr>
              <w:spacing w:before="60" w:after="60"/>
            </w:pPr>
            <w:r>
              <w:rPr>
                <w:rFonts w:ascii="Segoe UI" w:hAnsi="Segoe UI"/>
                <w:color w:val="485670"/>
                <w:sz w:val="19"/>
              </w:rPr>
            </w:r>
            <w:r>
              <w:rPr>
                <w:rFonts w:ascii="Cascadia Code" w:hAnsi="Cascadia Code"/>
                <w:color w:val="0B68B0"/>
                <w:sz w:val="17"/>
              </w:rPr>
              <w:t>EDP_Metadata.MetadataRef</w:t>
            </w:r>
            <w:r>
              <w:rPr>
                <w:rFonts w:ascii="Segoe UI" w:hAnsi="Segoe UI"/>
                <w:color w:val="485670"/>
                <w:sz w:val="19"/>
              </w:rPr>
            </w:r>
          </w:p>
        </w:tc>
        <w:tc>
          <w:tcPr>
            <w:tcW w:type="dxa" w:w="1008"/>
          </w:tcPr>
          <w:p>
            <w:pPr>
              <w:spacing w:before="60" w:after="60"/>
            </w:pPr>
            <w:r>
              <w:rPr>
                <w:rFonts w:ascii="Segoe UI" w:hAnsi="Segoe UI"/>
                <w:color w:val="485670"/>
                <w:sz w:val="19"/>
              </w:rPr>
              <w:t>Table</w:t>
            </w:r>
          </w:p>
        </w:tc>
        <w:tc>
          <w:tcPr>
            <w:tcW w:type="dxa" w:w="3600"/>
          </w:tcPr>
          <w:p>
            <w:pPr>
              <w:spacing w:before="60" w:after="60"/>
            </w:pPr>
            <w:r>
              <w:rPr>
                <w:rFonts w:ascii="Segoe UI" w:hAnsi="Segoe UI"/>
                <w:color w:val="485670"/>
                <w:sz w:val="19"/>
              </w:rPr>
              <w:t>Core control table — one row per ingestion job</w:t>
            </w:r>
          </w:p>
        </w:tc>
        <w:tc>
          <w:tcPr>
            <w:tcW w:type="dxa" w:w="3600"/>
          </w:tcPr>
          <w:p>
            <w:pPr>
              <w:spacing w:before="60" w:after="60"/>
            </w:pPr>
            <w:r>
              <w:rPr>
                <w:rFonts w:ascii="Segoe UI" w:hAnsi="Segoe UI"/>
                <w:color w:val="485670"/>
                <w:sz w:val="19"/>
              </w:rPr>
              <w:t>Primary config store; queried via MasterRef</w:t>
            </w:r>
          </w:p>
        </w:tc>
      </w:tr>
      <w:tr>
        <w:tc>
          <w:tcPr>
            <w:tcW w:type="dxa" w:w="3024"/>
          </w:tcPr>
          <w:p>
            <w:pPr>
              <w:spacing w:before="60" w:after="60"/>
            </w:pPr>
            <w:r>
              <w:rPr>
                <w:rFonts w:ascii="Segoe UI" w:hAnsi="Segoe UI"/>
                <w:color w:val="485670"/>
                <w:sz w:val="19"/>
              </w:rPr>
            </w:r>
            <w:r>
              <w:rPr>
                <w:rFonts w:ascii="Cascadia Code" w:hAnsi="Cascadia Code"/>
                <w:color w:val="0B68B0"/>
                <w:sz w:val="17"/>
              </w:rPr>
              <w:t>EDP_Metadata.MasterRef</w:t>
            </w:r>
            <w:r>
              <w:rPr>
                <w:rFonts w:ascii="Segoe UI" w:hAnsi="Segoe UI"/>
                <w:color w:val="485670"/>
                <w:sz w:val="19"/>
              </w:rPr>
            </w:r>
          </w:p>
        </w:tc>
        <w:tc>
          <w:tcPr>
            <w:tcW w:type="dxa" w:w="1008"/>
          </w:tcPr>
          <w:p>
            <w:pPr>
              <w:spacing w:before="60" w:after="60"/>
            </w:pPr>
            <w:r>
              <w:rPr>
                <w:rFonts w:ascii="Segoe UI" w:hAnsi="Segoe UI"/>
                <w:color w:val="485670"/>
                <w:sz w:val="19"/>
              </w:rPr>
              <w:t>View</w:t>
            </w:r>
          </w:p>
        </w:tc>
        <w:tc>
          <w:tcPr>
            <w:tcW w:type="dxa" w:w="3600"/>
          </w:tcPr>
          <w:p>
            <w:pPr>
              <w:spacing w:before="60" w:after="60"/>
            </w:pPr>
            <w:r>
              <w:rPr>
                <w:rFonts w:ascii="Segoe UI" w:hAnsi="Segoe UI"/>
                <w:color w:val="485670"/>
                <w:sz w:val="19"/>
              </w:rPr>
              <w:t>Denormalized runtime view; derives Pipeline_Name and SwitchCaseRef</w:t>
            </w:r>
          </w:p>
        </w:tc>
        <w:tc>
          <w:tcPr>
            <w:tcW w:type="dxa" w:w="3600"/>
          </w:tcPr>
          <w:p>
            <w:pPr>
              <w:spacing w:before="60" w:after="60"/>
            </w:pPr>
            <w:r>
              <w:rPr>
                <w:rFonts w:ascii="Segoe UI" w:hAnsi="Segoe UI"/>
                <w:color w:val="485670"/>
                <w:sz w:val="19"/>
              </w:rPr>
              <w:t>Target of the Lookup activity</w:t>
            </w:r>
          </w:p>
        </w:tc>
      </w:tr>
      <w:tr>
        <w:tc>
          <w:tcPr>
            <w:tcW w:type="dxa" w:w="3024"/>
          </w:tcPr>
          <w:p>
            <w:pPr>
              <w:spacing w:before="60" w:after="60"/>
            </w:pPr>
            <w:r>
              <w:rPr>
                <w:rFonts w:ascii="Segoe UI" w:hAnsi="Segoe UI"/>
                <w:color w:val="485670"/>
                <w:sz w:val="19"/>
              </w:rPr>
            </w:r>
            <w:r>
              <w:rPr>
                <w:rFonts w:ascii="Cascadia Code" w:hAnsi="Cascadia Code"/>
                <w:color w:val="0B68B0"/>
                <w:sz w:val="17"/>
              </w:rPr>
              <w:t>EDP_Metadata.Watermark</w:t>
            </w:r>
            <w:r>
              <w:rPr>
                <w:rFonts w:ascii="Segoe UI" w:hAnsi="Segoe UI"/>
                <w:color w:val="485670"/>
                <w:sz w:val="19"/>
              </w:rPr>
            </w:r>
          </w:p>
        </w:tc>
        <w:tc>
          <w:tcPr>
            <w:tcW w:type="dxa" w:w="1008"/>
          </w:tcPr>
          <w:p>
            <w:pPr>
              <w:spacing w:before="60" w:after="60"/>
            </w:pPr>
            <w:r>
              <w:rPr>
                <w:rFonts w:ascii="Segoe UI" w:hAnsi="Segoe UI"/>
                <w:color w:val="485670"/>
                <w:sz w:val="19"/>
              </w:rPr>
              <w:t>Table</w:t>
            </w:r>
          </w:p>
        </w:tc>
        <w:tc>
          <w:tcPr>
            <w:tcW w:type="dxa" w:w="3600"/>
          </w:tcPr>
          <w:p>
            <w:pPr>
              <w:spacing w:before="60" w:after="60"/>
            </w:pPr>
            <w:r>
              <w:rPr>
                <w:rFonts w:ascii="Segoe UI" w:hAnsi="Segoe UI"/>
                <w:color w:val="485670"/>
                <w:sz w:val="19"/>
              </w:rPr>
              <w:t>High-water mark per incremental job; updated after each successful run that transfers data</w:t>
            </w:r>
          </w:p>
        </w:tc>
        <w:tc>
          <w:tcPr>
            <w:tcW w:type="dxa" w:w="3600"/>
          </w:tcPr>
          <w:p>
            <w:pPr>
              <w:spacing w:before="60" w:after="60"/>
            </w:pPr>
            <w:r>
              <w:rPr>
                <w:rFonts w:ascii="Segoe UI" w:hAnsi="Segoe UI"/>
                <w:color w:val="485670"/>
                <w:sz w:val="19"/>
              </w:rPr>
              <w:t>Read via MasterRef; written by Update_Watermark Script</w:t>
            </w:r>
          </w:p>
        </w:tc>
      </w:tr>
      <w:tr>
        <w:tc>
          <w:tcPr>
            <w:tcW w:type="dxa" w:w="3024"/>
          </w:tcPr>
          <w:p>
            <w:pPr>
              <w:spacing w:before="60" w:after="60"/>
            </w:pPr>
            <w:r>
              <w:rPr>
                <w:rFonts w:ascii="Segoe UI" w:hAnsi="Segoe UI"/>
                <w:color w:val="485670"/>
                <w:sz w:val="19"/>
              </w:rPr>
            </w:r>
            <w:r>
              <w:rPr>
                <w:rFonts w:ascii="Cascadia Code" w:hAnsi="Cascadia Code"/>
                <w:color w:val="0B68B0"/>
                <w:sz w:val="17"/>
              </w:rPr>
              <w:t>EDP_Metadata.DatasetRef</w:t>
            </w:r>
            <w:r>
              <w:rPr>
                <w:rFonts w:ascii="Segoe UI" w:hAnsi="Segoe UI"/>
                <w:color w:val="485670"/>
                <w:sz w:val="19"/>
              </w:rPr>
            </w:r>
          </w:p>
        </w:tc>
        <w:tc>
          <w:tcPr>
            <w:tcW w:type="dxa" w:w="1008"/>
          </w:tcPr>
          <w:p>
            <w:pPr>
              <w:spacing w:before="60" w:after="60"/>
            </w:pPr>
            <w:r>
              <w:rPr>
                <w:rFonts w:ascii="Segoe UI" w:hAnsi="Segoe UI"/>
                <w:color w:val="485670"/>
                <w:sz w:val="19"/>
              </w:rPr>
              <w:t>Table</w:t>
            </w:r>
          </w:p>
        </w:tc>
        <w:tc>
          <w:tcPr>
            <w:tcW w:type="dxa" w:w="3600"/>
          </w:tcPr>
          <w:p>
            <w:pPr>
              <w:spacing w:before="60" w:after="60"/>
            </w:pPr>
            <w:r>
              <w:rPr>
                <w:rFonts w:ascii="Segoe UI" w:hAnsi="Segoe UI"/>
                <w:color w:val="485670"/>
                <w:sz w:val="19"/>
              </w:rPr>
              <w:t>Unique Source + FileFormat combinations including compressed variants</w:t>
            </w:r>
          </w:p>
        </w:tc>
        <w:tc>
          <w:tcPr>
            <w:tcW w:type="dxa" w:w="3600"/>
          </w:tcPr>
          <w:p>
            <w:pPr>
              <w:spacing w:before="60" w:after="60"/>
            </w:pPr>
            <w:r>
              <w:rPr>
                <w:rFonts w:ascii="Segoe UI" w:hAnsi="Segoe UI"/>
                <w:color w:val="485670"/>
                <w:sz w:val="19"/>
              </w:rPr>
              <w:t>Resolved via MasterRef</w:t>
            </w:r>
          </w:p>
        </w:tc>
      </w:tr>
      <w:tr>
        <w:tc>
          <w:tcPr>
            <w:tcW w:type="dxa" w:w="3024"/>
          </w:tcPr>
          <w:p>
            <w:pPr>
              <w:spacing w:before="60" w:after="60"/>
            </w:pPr>
            <w:r>
              <w:rPr>
                <w:rFonts w:ascii="Segoe UI" w:hAnsi="Segoe UI"/>
                <w:color w:val="485670"/>
                <w:sz w:val="19"/>
              </w:rPr>
            </w:r>
            <w:r>
              <w:rPr>
                <w:rFonts w:ascii="Cascadia Code" w:hAnsi="Cascadia Code"/>
                <w:color w:val="0B68B0"/>
                <w:sz w:val="17"/>
              </w:rPr>
              <w:t>EDP_Metadata.LinkedServiceRef</w:t>
            </w:r>
            <w:r>
              <w:rPr>
                <w:rFonts w:ascii="Segoe UI" w:hAnsi="Segoe UI"/>
                <w:color w:val="485670"/>
                <w:sz w:val="19"/>
              </w:rPr>
            </w:r>
          </w:p>
        </w:tc>
        <w:tc>
          <w:tcPr>
            <w:tcW w:type="dxa" w:w="1008"/>
          </w:tcPr>
          <w:p>
            <w:pPr>
              <w:spacing w:before="60" w:after="60"/>
            </w:pPr>
            <w:r>
              <w:rPr>
                <w:rFonts w:ascii="Segoe UI" w:hAnsi="Segoe UI"/>
                <w:color w:val="485670"/>
                <w:sz w:val="19"/>
              </w:rPr>
              <w:t>Table</w:t>
            </w:r>
          </w:p>
        </w:tc>
        <w:tc>
          <w:tcPr>
            <w:tcW w:type="dxa" w:w="3600"/>
          </w:tcPr>
          <w:p>
            <w:pPr>
              <w:spacing w:before="60" w:after="60"/>
            </w:pPr>
            <w:r>
              <w:rPr>
                <w:rFonts w:ascii="Segoe UI" w:hAnsi="Segoe UI"/>
                <w:color w:val="485670"/>
                <w:sz w:val="19"/>
              </w:rPr>
              <w:t>ADF linked service catalog with JSON connection templates</w:t>
            </w:r>
          </w:p>
        </w:tc>
        <w:tc>
          <w:tcPr>
            <w:tcW w:type="dxa" w:w="3600"/>
          </w:tcPr>
          <w:p>
            <w:pPr>
              <w:spacing w:before="60" w:after="60"/>
            </w:pPr>
            <w:r>
              <w:rPr>
                <w:rFonts w:ascii="Segoe UI" w:hAnsi="Segoe UI"/>
                <w:color w:val="485670"/>
                <w:sz w:val="19"/>
              </w:rPr>
              <w:t>Resolved via MasterRef</w:t>
            </w:r>
          </w:p>
        </w:tc>
      </w:tr>
      <w:tr>
        <w:tc>
          <w:tcPr>
            <w:tcW w:type="dxa" w:w="3024"/>
          </w:tcPr>
          <w:p>
            <w:pPr>
              <w:spacing w:before="60" w:after="60"/>
            </w:pPr>
            <w:r>
              <w:rPr>
                <w:rFonts w:ascii="Segoe UI" w:hAnsi="Segoe UI"/>
                <w:color w:val="485670"/>
                <w:sz w:val="19"/>
              </w:rPr>
            </w:r>
            <w:r>
              <w:rPr>
                <w:rFonts w:ascii="Cascadia Code" w:hAnsi="Cascadia Code"/>
                <w:color w:val="0B68B0"/>
                <w:sz w:val="17"/>
              </w:rPr>
              <w:t>EDP_Metadata.SourceRef</w:t>
            </w:r>
            <w:r>
              <w:rPr>
                <w:rFonts w:ascii="Segoe UI" w:hAnsi="Segoe UI"/>
                <w:color w:val="485670"/>
                <w:sz w:val="19"/>
              </w:rPr>
            </w:r>
          </w:p>
        </w:tc>
        <w:tc>
          <w:tcPr>
            <w:tcW w:type="dxa" w:w="1008"/>
          </w:tcPr>
          <w:p>
            <w:pPr>
              <w:spacing w:before="60" w:after="60"/>
            </w:pPr>
            <w:r>
              <w:rPr>
                <w:rFonts w:ascii="Segoe UI" w:hAnsi="Segoe UI"/>
                <w:color w:val="485670"/>
                <w:sz w:val="19"/>
              </w:rPr>
              <w:t>Table</w:t>
            </w:r>
          </w:p>
        </w:tc>
        <w:tc>
          <w:tcPr>
            <w:tcW w:type="dxa" w:w="3600"/>
          </w:tcPr>
          <w:p>
            <w:pPr>
              <w:spacing w:before="60" w:after="60"/>
            </w:pPr>
            <w:r>
              <w:rPr>
                <w:rFonts w:ascii="Segoe UI" w:hAnsi="Segoe UI"/>
                <w:color w:val="485670"/>
                <w:sz w:val="19"/>
              </w:rPr>
              <w:t>Supported data source types and short codes</w:t>
            </w:r>
          </w:p>
        </w:tc>
        <w:tc>
          <w:tcPr>
            <w:tcW w:type="dxa" w:w="3600"/>
          </w:tcPr>
          <w:p>
            <w:pPr>
              <w:spacing w:before="60" w:after="60"/>
            </w:pPr>
            <w:r>
              <w:rPr>
                <w:rFonts w:ascii="Segoe UI" w:hAnsi="Segoe UI"/>
                <w:color w:val="485670"/>
                <w:sz w:val="19"/>
              </w:rPr>
              <w:t>Resolved via MasterRef</w:t>
            </w:r>
          </w:p>
        </w:tc>
      </w:tr>
      <w:tr>
        <w:tc>
          <w:tcPr>
            <w:tcW w:type="dxa" w:w="3024"/>
          </w:tcPr>
          <w:p>
            <w:pPr>
              <w:spacing w:before="60" w:after="60"/>
            </w:pPr>
            <w:r>
              <w:rPr>
                <w:rFonts w:ascii="Segoe UI" w:hAnsi="Segoe UI"/>
                <w:color w:val="485670"/>
                <w:sz w:val="19"/>
              </w:rPr>
            </w:r>
            <w:r>
              <w:rPr>
                <w:rFonts w:ascii="Cascadia Code" w:hAnsi="Cascadia Code"/>
                <w:color w:val="0B68B0"/>
                <w:sz w:val="17"/>
              </w:rPr>
              <w:t>EDP_Metadata.FileFormat</w:t>
            </w:r>
            <w:r>
              <w:rPr>
                <w:rFonts w:ascii="Segoe UI" w:hAnsi="Segoe UI"/>
                <w:color w:val="485670"/>
                <w:sz w:val="19"/>
              </w:rPr>
            </w:r>
          </w:p>
        </w:tc>
        <w:tc>
          <w:tcPr>
            <w:tcW w:type="dxa" w:w="1008"/>
          </w:tcPr>
          <w:p>
            <w:pPr>
              <w:spacing w:before="60" w:after="60"/>
            </w:pPr>
            <w:r>
              <w:rPr>
                <w:rFonts w:ascii="Segoe UI" w:hAnsi="Segoe UI"/>
                <w:color w:val="485670"/>
                <w:sz w:val="19"/>
              </w:rPr>
              <w:t>Table</w:t>
            </w:r>
          </w:p>
        </w:tc>
        <w:tc>
          <w:tcPr>
            <w:tcW w:type="dxa" w:w="3600"/>
          </w:tcPr>
          <w:p>
            <w:pPr>
              <w:spacing w:before="60" w:after="60"/>
            </w:pPr>
            <w:r>
              <w:rPr>
                <w:rFonts w:ascii="Segoe UI" w:hAnsi="Segoe UI"/>
                <w:color w:val="485670"/>
                <w:sz w:val="19"/>
              </w:rPr>
              <w:t>Supported file formats including compression variants</w:t>
            </w:r>
          </w:p>
        </w:tc>
        <w:tc>
          <w:tcPr>
            <w:tcW w:type="dxa" w:w="3600"/>
          </w:tcPr>
          <w:p>
            <w:pPr>
              <w:spacing w:before="60" w:after="60"/>
            </w:pPr>
            <w:r>
              <w:rPr>
                <w:rFonts w:ascii="Segoe UI" w:hAnsi="Segoe UI"/>
                <w:color w:val="485670"/>
                <w:sz w:val="19"/>
              </w:rPr>
              <w:t>Resolved via MasterRef</w:t>
            </w:r>
          </w:p>
        </w:tc>
      </w:tr>
      <w:tr>
        <w:tc>
          <w:tcPr>
            <w:tcW w:type="dxa" w:w="3024"/>
          </w:tcPr>
          <w:p>
            <w:pPr>
              <w:spacing w:before="60" w:after="60"/>
            </w:pPr>
            <w:r>
              <w:rPr>
                <w:rFonts w:ascii="Segoe UI" w:hAnsi="Segoe UI"/>
                <w:color w:val="485670"/>
                <w:sz w:val="19"/>
              </w:rPr>
            </w:r>
            <w:r>
              <w:rPr>
                <w:rFonts w:ascii="Cascadia Code" w:hAnsi="Cascadia Code"/>
                <w:color w:val="0B68B0"/>
                <w:sz w:val="17"/>
              </w:rPr>
              <w:t>EDP_Metadata.SystemAuth</w:t>
            </w:r>
            <w:r>
              <w:rPr>
                <w:rFonts w:ascii="Segoe UI" w:hAnsi="Segoe UI"/>
                <w:color w:val="485670"/>
                <w:sz w:val="19"/>
              </w:rPr>
            </w:r>
          </w:p>
        </w:tc>
        <w:tc>
          <w:tcPr>
            <w:tcW w:type="dxa" w:w="1008"/>
          </w:tcPr>
          <w:p>
            <w:pPr>
              <w:spacing w:before="60" w:after="60"/>
            </w:pPr>
            <w:r>
              <w:rPr>
                <w:rFonts w:ascii="Segoe UI" w:hAnsi="Segoe UI"/>
                <w:color w:val="485670"/>
                <w:sz w:val="19"/>
              </w:rPr>
              <w:t>Table</w:t>
            </w:r>
          </w:p>
        </w:tc>
        <w:tc>
          <w:tcPr>
            <w:tcW w:type="dxa" w:w="3600"/>
          </w:tcPr>
          <w:p>
            <w:pPr>
              <w:spacing w:before="60" w:after="60"/>
            </w:pPr>
            <w:r>
              <w:rPr>
                <w:rFonts w:ascii="Segoe UI" w:hAnsi="Segoe UI"/>
                <w:color w:val="485670"/>
                <w:sz w:val="19"/>
              </w:rPr>
              <w:t>Supported authentication types and applicable connectors</w:t>
            </w:r>
          </w:p>
        </w:tc>
        <w:tc>
          <w:tcPr>
            <w:tcW w:type="dxa" w:w="3600"/>
          </w:tcPr>
          <w:p>
            <w:pPr>
              <w:spacing w:before="60" w:after="60"/>
            </w:pPr>
            <w:r>
              <w:rPr>
                <w:rFonts w:ascii="Segoe UI" w:hAnsi="Segoe UI"/>
                <w:color w:val="485670"/>
                <w:sz w:val="19"/>
              </w:rPr>
              <w:t>Resolved via MasterRef</w:t>
            </w:r>
          </w:p>
        </w:tc>
      </w:tr>
      <w:tr>
        <w:tc>
          <w:tcPr>
            <w:tcW w:type="dxa" w:w="3024"/>
          </w:tcPr>
          <w:p>
            <w:pPr>
              <w:spacing w:before="60" w:after="60"/>
            </w:pPr>
            <w:r>
              <w:rPr>
                <w:rFonts w:ascii="Segoe UI" w:hAnsi="Segoe UI"/>
                <w:color w:val="485670"/>
                <w:sz w:val="19"/>
              </w:rPr>
            </w:r>
            <w:r>
              <w:rPr>
                <w:rFonts w:ascii="Cascadia Code" w:hAnsi="Cascadia Code"/>
                <w:color w:val="0B68B0"/>
                <w:sz w:val="17"/>
              </w:rPr>
              <w:t>EDP_Metadata.BusinessDomainRef</w:t>
            </w:r>
            <w:r>
              <w:rPr>
                <w:rFonts w:ascii="Segoe UI" w:hAnsi="Segoe UI"/>
                <w:color w:val="485670"/>
                <w:sz w:val="19"/>
              </w:rPr>
            </w:r>
          </w:p>
        </w:tc>
        <w:tc>
          <w:tcPr>
            <w:tcW w:type="dxa" w:w="1008"/>
          </w:tcPr>
          <w:p>
            <w:pPr>
              <w:spacing w:before="60" w:after="60"/>
            </w:pPr>
            <w:r>
              <w:rPr>
                <w:rFonts w:ascii="Segoe UI" w:hAnsi="Segoe UI"/>
                <w:color w:val="485670"/>
                <w:sz w:val="19"/>
              </w:rPr>
              <w:t>Table</w:t>
            </w:r>
          </w:p>
        </w:tc>
        <w:tc>
          <w:tcPr>
            <w:tcW w:type="dxa" w:w="3600"/>
          </w:tcPr>
          <w:p>
            <w:pPr>
              <w:spacing w:before="60" w:after="60"/>
            </w:pPr>
            <w:r>
              <w:rPr>
                <w:rFonts w:ascii="Segoe UI" w:hAnsi="Segoe UI"/>
                <w:color w:val="485670"/>
                <w:sz w:val="19"/>
              </w:rPr>
              <w:t>Business domain classification</w:t>
            </w:r>
          </w:p>
        </w:tc>
        <w:tc>
          <w:tcPr>
            <w:tcW w:type="dxa" w:w="3600"/>
          </w:tcPr>
          <w:p>
            <w:pPr>
              <w:spacing w:before="60" w:after="60"/>
            </w:pPr>
            <w:r>
              <w:rPr>
                <w:rFonts w:ascii="Segoe UI" w:hAnsi="Segoe UI"/>
                <w:color w:val="485670"/>
                <w:sz w:val="19"/>
              </w:rPr>
              <w:t>Resolved via MasterRef</w:t>
            </w:r>
          </w:p>
        </w:tc>
      </w:tr>
      <w:tr>
        <w:tc>
          <w:tcPr>
            <w:tcW w:type="dxa" w:w="3024"/>
          </w:tcPr>
          <w:p>
            <w:pPr>
              <w:spacing w:before="60" w:after="60"/>
            </w:pPr>
            <w:r>
              <w:rPr>
                <w:rFonts w:ascii="Segoe UI" w:hAnsi="Segoe UI"/>
                <w:color w:val="485670"/>
                <w:sz w:val="19"/>
              </w:rPr>
            </w:r>
            <w:r>
              <w:rPr>
                <w:rFonts w:ascii="Cascadia Code" w:hAnsi="Cascadia Code"/>
                <w:color w:val="0B68B0"/>
                <w:sz w:val="17"/>
              </w:rPr>
              <w:t>EDP_Metadata.colDelimitterRef</w:t>
            </w:r>
            <w:r>
              <w:rPr>
                <w:rFonts w:ascii="Segoe UI" w:hAnsi="Segoe UI"/>
                <w:color w:val="485670"/>
                <w:sz w:val="19"/>
              </w:rPr>
            </w:r>
          </w:p>
        </w:tc>
        <w:tc>
          <w:tcPr>
            <w:tcW w:type="dxa" w:w="1008"/>
          </w:tcPr>
          <w:p>
            <w:pPr>
              <w:spacing w:before="60" w:after="60"/>
            </w:pPr>
            <w:r>
              <w:rPr>
                <w:rFonts w:ascii="Segoe UI" w:hAnsi="Segoe UI"/>
                <w:color w:val="485670"/>
                <w:sz w:val="19"/>
              </w:rPr>
              <w:t>Table</w:t>
            </w:r>
          </w:p>
        </w:tc>
        <w:tc>
          <w:tcPr>
            <w:tcW w:type="dxa" w:w="3600"/>
          </w:tcPr>
          <w:p>
            <w:pPr>
              <w:spacing w:before="60" w:after="60"/>
            </w:pPr>
            <w:r>
              <w:rPr>
                <w:rFonts w:ascii="Segoe UI" w:hAnsi="Segoe UI"/>
                <w:color w:val="485670"/>
                <w:sz w:val="19"/>
              </w:rPr>
              <w:t>Column delimiter reference values</w:t>
            </w:r>
          </w:p>
        </w:tc>
        <w:tc>
          <w:tcPr>
            <w:tcW w:type="dxa" w:w="3600"/>
          </w:tcPr>
          <w:p>
            <w:pPr>
              <w:spacing w:before="60" w:after="60"/>
            </w:pPr>
            <w:r>
              <w:rPr>
                <w:rFonts w:ascii="Segoe UI" w:hAnsi="Segoe UI"/>
                <w:color w:val="485670"/>
                <w:sz w:val="19"/>
              </w:rPr>
              <w:t>Resolved via MasterRef</w:t>
            </w:r>
          </w:p>
        </w:tc>
      </w:tr>
    </w:tbl>
    <w:p/>
    <w:p>
      <w:pPr>
        <w:spacing w:before="480"/>
        <w:pBdr>
          <w:top w:val="single" w:sz="4" w:space="4" w:color="C8D4E6"/>
        </w:pBdr>
      </w:pPr>
      <w:r>
        <w:rPr>
          <w:rFonts w:ascii="Segoe UI" w:hAnsi="Segoe UI"/>
          <w:color w:val="6A788F"/>
          <w:sz w:val="16"/>
        </w:rPr>
        <w:t>Enterprise Data Platform  |  Metadata-Driven Ingestion Framework  |  Version 2.0  |  August 2026  |  Internal Use Only</w:t>
      </w:r>
    </w:p>
    <w:sectPr w:rsidR="00FC693F" w:rsidRPr="0006063C" w:rsidSect="00034616">
      <w:pgSz w:w="12240" w:h="15840"/>
      <w:pgMar w:top="1584" w:right="1728" w:bottom="1584"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color w:val="48567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