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rPr>
          <w:rFonts w:ascii="Segoe UI" w:hAnsi="Segoe UI"/>
          <w:b/>
          <w:caps/>
          <w:color w:val="0B68B0"/>
          <w:sz w:val="16"/>
        </w:rPr>
        <w:t>ARCHITECTURE FORUM  ·  HIGH LEVEL DESIGN</w:t>
      </w:r>
    </w:p>
    <w:p>
      <w:r>
        <w:rPr>
          <w:rFonts w:ascii="Segoe UI" w:hAnsi="Segoe UI"/>
          <w:b/>
          <w:color w:val="1B2238"/>
          <w:sz w:val="48"/>
        </w:rPr>
        <w:t>Metadata-Driven Ingestion Framework</w:t>
      </w:r>
    </w:p>
    <w:p>
      <w:pPr>
        <w:spacing w:after="120"/>
      </w:pPr>
      <w:r>
        <w:rPr>
          <w:rFonts w:ascii="Segoe UI" w:hAnsi="Segoe UI"/>
          <w:color w:val="485670"/>
          <w:sz w:val="22"/>
        </w:rPr>
        <w:t>A reusable, configuration-controlled data integration layer on Azure that eliminates per-source pipeline development and centralises all ingestion behaviour in a single metadata control plane.</w:t>
      </w:r>
    </w:p>
    <w:p>
      <w:pPr>
        <w:spacing w:after="320"/>
      </w:pPr>
      <w:r>
        <w:rPr>
          <w:rFonts w:ascii="Segoe UI" w:hAnsi="Segoe UI"/>
          <w:color w:val="6A788F"/>
          <w:sz w:val="18"/>
        </w:rPr>
        <w:t>Version 1.0   ·   August 2026   ·   Classification: Internal</w:t>
      </w:r>
    </w:p>
    <w:p>
      <w:pPr>
        <w:pBdr>
          <w:bottom w:val="single" w:sz="6" w:space="1" w:color="C8D4E6"/>
        </w:pBdr>
      </w:pPr>
    </w:p>
    <w:p>
      <w:pPr>
        <w:spacing w:before="360" w:after="40"/>
        <w:pBdr>
          <w:bottom w:val="single" w:sz="6" w:space="1" w:color="E3EFF9"/>
        </w:pBdr>
      </w:pPr>
      <w:r>
        <w:rPr>
          <w:rFonts w:ascii="Segoe UI" w:hAnsi="Segoe UI"/>
          <w:b/>
          <w:color w:val="0B68B0"/>
          <w:sz w:val="16"/>
        </w:rPr>
        <w:t xml:space="preserve">01 — OVERVIEW   </w:t>
      </w:r>
      <w:r>
        <w:rPr>
          <w:rFonts w:ascii="Segoe UI" w:hAnsi="Segoe UI"/>
          <w:b/>
          <w:color w:val="1B2238"/>
          <w:sz w:val="30"/>
        </w:rPr>
        <w:t>Executive Summary</w:t>
      </w:r>
    </w:p>
    <w:p>
      <w:pPr>
        <w:spacing w:after="80"/>
      </w:pPr>
      <w:r>
        <w:rPr>
          <w:rFonts w:ascii="Segoe UI" w:hAnsi="Segoe UI"/>
          <w:color w:val="485670"/>
          <w:sz w:val="20"/>
        </w:rPr>
        <w:t>The Metadata-Driven Ingestion Framework provides a single, reusable, and centrally governed data integration layer on Azure. Instead of building a dedicated pipeline for each data source, a suite of generic Azure Data Factory pipelines covers all ingestion scenarios — with runtime behaviour driven entirely by metadata stored in a central Azure SQL schema (EDP_Metadata).</w:t>
      </w:r>
    </w:p>
    <w:p>
      <w:pPr>
        <w:spacing w:after="80"/>
      </w:pPr>
      <w:r>
        <w:rPr>
          <w:rFonts w:ascii="Segoe UI" w:hAnsi="Segoe UI"/>
          <w:color w:val="485670"/>
          <w:sz w:val="20"/>
        </w:rPr>
        <w:t>Onboarding a new data source requires no pipeline development or deployment. A metadata record is inserted into the control table and the existing generic pipeline automatically handles the ingestion — resolving connections, dataset types, file formats, column delimiters, load strategy, and target paths at runtime from the metadata.</w:t>
      </w:r>
    </w:p>
    <w:p>
      <w:pPr>
        <w:spacing w:after="80"/>
      </w:pPr>
      <w:r>
        <w:rPr>
          <w:rFonts w:ascii="Segoe UI" w:hAnsi="Segoe UI"/>
          <w:color w:val="485670"/>
          <w:sz w:val="20"/>
        </w:rPr>
        <w:t>The framework supports both Full Refresh and Incremental (Delta) load patterns, Ingress and Egress activity directions, and a broad range of source and target connectors across file-based and database systems.</w:t>
      </w:r>
    </w:p>
    <w:p>
      <w:pPr>
        <w:spacing w:before="360" w:after="40"/>
        <w:pBdr>
          <w:bottom w:val="single" w:sz="6" w:space="1" w:color="E3EFF9"/>
        </w:pBdr>
      </w:pPr>
      <w:r>
        <w:rPr>
          <w:rFonts w:ascii="Segoe UI" w:hAnsi="Segoe UI"/>
          <w:b/>
          <w:color w:val="0B68B0"/>
          <w:sz w:val="16"/>
        </w:rPr>
        <w:t xml:space="preserve">02 — CONTEXT   </w:t>
      </w:r>
      <w:r>
        <w:rPr>
          <w:rFonts w:ascii="Segoe UI" w:hAnsi="Segoe UI"/>
          <w:b/>
          <w:color w:val="1B2238"/>
          <w:sz w:val="30"/>
        </w:rPr>
        <w:t>Problem Statement</w:t>
      </w:r>
    </w:p>
    <w:p>
      <w:pPr>
        <w:spacing w:after="80"/>
      </w:pPr>
      <w:r>
        <w:rPr>
          <w:rFonts w:ascii="Segoe UI" w:hAnsi="Segoe UI"/>
          <w:color w:val="485670"/>
          <w:sz w:val="20"/>
        </w:rPr>
        <w:t>Without a metadata-driven approach, data engineering teams typically encounter the following challenges as the number of ingestion requirements grows:</w:t>
      </w:r>
    </w:p>
    <w:p>
      <w:pPr>
        <w:pStyle w:val="ListBullet"/>
        <w:spacing w:after="40"/>
        <w:ind w:left="340"/>
      </w:pPr>
      <w:r>
        <w:rPr>
          <w:rFonts w:ascii="Segoe UI" w:hAnsi="Segoe UI"/>
          <w:b/>
          <w:color w:val="1B2238"/>
          <w:sz w:val="20"/>
        </w:rPr>
        <w:t xml:space="preserve">Pipeline proliferation — </w:t>
      </w:r>
      <w:r>
        <w:rPr>
          <w:rFonts w:ascii="Segoe UI" w:hAnsi="Segoe UI"/>
          <w:color w:val="485670"/>
          <w:sz w:val="20"/>
        </w:rPr>
        <w:t>A dedicated pipeline per source/target combination results in hundreds of near-identical, independently maintained artifacts with no shared behaviour.</w:t>
      </w:r>
    </w:p>
    <w:p>
      <w:pPr>
        <w:pStyle w:val="ListBullet"/>
        <w:spacing w:after="40"/>
        <w:ind w:left="340"/>
      </w:pPr>
      <w:r>
        <w:rPr>
          <w:rFonts w:ascii="Segoe UI" w:hAnsi="Segoe UI"/>
          <w:b/>
          <w:color w:val="1B2238"/>
          <w:sz w:val="20"/>
        </w:rPr>
        <w:t xml:space="preserve">Hardcoded configuration — </w:t>
      </w:r>
      <w:r>
        <w:rPr>
          <w:rFonts w:ascii="Segoe UI" w:hAnsi="Segoe UI"/>
          <w:color w:val="485670"/>
          <w:sz w:val="20"/>
        </w:rPr>
        <w:t>Connection strings, file paths, table names, and schema references are embedded in pipeline definitions, requiring a full redeployment cycle for any configuration change.</w:t>
      </w:r>
    </w:p>
    <w:p>
      <w:pPr>
        <w:pStyle w:val="ListBullet"/>
        <w:spacing w:after="40"/>
        <w:ind w:left="340"/>
      </w:pPr>
      <w:r>
        <w:rPr>
          <w:rFonts w:ascii="Segoe UI" w:hAnsi="Segoe UI"/>
          <w:b/>
          <w:color w:val="1B2238"/>
          <w:sz w:val="20"/>
        </w:rPr>
        <w:t xml:space="preserve">No central control — </w:t>
      </w:r>
      <w:r>
        <w:rPr>
          <w:rFonts w:ascii="Segoe UI" w:hAnsi="Segoe UI"/>
          <w:color w:val="485670"/>
          <w:sz w:val="20"/>
        </w:rPr>
        <w:t>Activating or deactivating a specific ingestion job requires modifying triggers or pipeline definitions rather than updating a flag in a control table.</w:t>
      </w:r>
    </w:p>
    <w:p>
      <w:pPr>
        <w:pStyle w:val="ListBullet"/>
        <w:spacing w:after="40"/>
        <w:ind w:left="340"/>
      </w:pPr>
      <w:r>
        <w:rPr>
          <w:rFonts w:ascii="Segoe UI" w:hAnsi="Segoe UI"/>
          <w:b/>
          <w:color w:val="1B2238"/>
          <w:sz w:val="20"/>
        </w:rPr>
        <w:t xml:space="preserve">Slow source onboarding — </w:t>
      </w:r>
      <w:r>
        <w:rPr>
          <w:rFonts w:ascii="Segoe UI" w:hAnsi="Segoe UI"/>
          <w:color w:val="485670"/>
          <w:sz w:val="20"/>
        </w:rPr>
        <w:t>Each new data source demands a full pipeline build, review, test, and deployment cycle — typically days to weeks per source at scale.</w:t>
      </w:r>
    </w:p>
    <w:p>
      <w:pPr>
        <w:pStyle w:val="ListBullet"/>
        <w:spacing w:after="40"/>
        <w:ind w:left="340"/>
      </w:pPr>
      <w:r>
        <w:rPr>
          <w:rFonts w:ascii="Segoe UI" w:hAnsi="Segoe UI"/>
          <w:b/>
          <w:color w:val="1B2238"/>
          <w:sz w:val="20"/>
        </w:rPr>
        <w:t xml:space="preserve">Inconsistency — </w:t>
      </w:r>
      <w:r>
        <w:rPr>
          <w:rFonts w:ascii="Segoe UI" w:hAnsi="Segoe UI"/>
          <w:color w:val="485670"/>
          <w:sz w:val="20"/>
        </w:rPr>
        <w:t>Without enforced naming and structural conventions, pipeline implementations diverge across teams and projects, making operational management and tooling difficult.</w:t>
      </w:r>
    </w:p>
    <w:p>
      <w:pPr>
        <w:pStyle w:val="ListBullet"/>
        <w:spacing w:after="40"/>
        <w:ind w:left="340"/>
      </w:pPr>
      <w:r>
        <w:rPr>
          <w:rFonts w:ascii="Segoe UI" w:hAnsi="Segoe UI"/>
          <w:b/>
          <w:color w:val="1B2238"/>
          <w:sz w:val="20"/>
        </w:rPr>
        <w:t xml:space="preserve">Ad hoc watermark management — </w:t>
      </w:r>
      <w:r>
        <w:rPr>
          <w:rFonts w:ascii="Segoe UI" w:hAnsi="Segoe UI"/>
          <w:color w:val="485670"/>
          <w:sz w:val="20"/>
        </w:rPr>
        <w:t>Incremental load tracking (high-water marks) is typically implemented per-pipeline, with no centralised state or visibility.</w:t>
      </w:r>
    </w:p>
    <w:p>
      <w:pPr>
        <w:pStyle w:val="ListBullet"/>
        <w:spacing w:after="40"/>
        <w:ind w:left="340"/>
      </w:pPr>
      <w:r>
        <w:rPr>
          <w:rFonts w:ascii="Segoe UI" w:hAnsi="Segoe UI"/>
          <w:b/>
          <w:color w:val="1B2238"/>
          <w:sz w:val="20"/>
        </w:rPr>
        <w:t xml:space="preserve">Poor auditability — </w:t>
      </w:r>
      <w:r>
        <w:rPr>
          <w:rFonts w:ascii="Segoe UI" w:hAnsi="Segoe UI"/>
          <w:color w:val="485670"/>
          <w:sz w:val="20"/>
        </w:rPr>
        <w:t>There is no structured record of who configured a given ingestion job, when, or what was changed.</w:t>
      </w:r>
    </w:p>
    <w:p>
      <w:pPr>
        <w:spacing w:before="360" w:after="40"/>
        <w:pBdr>
          <w:bottom w:val="single" w:sz="6" w:space="1" w:color="E3EFF9"/>
        </w:pBdr>
      </w:pPr>
      <w:r>
        <w:rPr>
          <w:rFonts w:ascii="Segoe UI" w:hAnsi="Segoe UI"/>
          <w:b/>
          <w:color w:val="0B68B0"/>
          <w:sz w:val="16"/>
        </w:rPr>
        <w:t xml:space="preserve">03 — SOLUTION   </w:t>
      </w:r>
      <w:r>
        <w:rPr>
          <w:rFonts w:ascii="Segoe UI" w:hAnsi="Segoe UI"/>
          <w:b/>
          <w:color w:val="1B2238"/>
          <w:sz w:val="30"/>
        </w:rPr>
        <w:t>Solution Architecture</w:t>
      </w:r>
    </w:p>
    <w:p>
      <w:pPr>
        <w:spacing w:after="80"/>
      </w:pPr>
      <w:r>
        <w:rPr>
          <w:rFonts w:ascii="Segoe UI" w:hAnsi="Segoe UI"/>
          <w:color w:val="485670"/>
          <w:sz w:val="20"/>
        </w:rPr>
        <w:t>The framework is structured across three distinct layers, each with a single responsibility. The metadata control plane drives all behaviour; ADF executes it; source and target systems are treated as interchangeable connectors.</w:t>
      </w:r>
    </w:p>
    <w:p>
      <w:pPr>
        <w:spacing w:before="240" w:after="60"/>
      </w:pPr>
      <w:r>
        <w:rPr>
          <w:rFonts w:ascii="Segoe UI" w:hAnsi="Segoe UI"/>
          <w:b/>
          <w:color w:val="1B2238"/>
          <w:sz w:val="22"/>
        </w:rPr>
        <w:t>Layer 1 — Source Systems</w:t>
      </w:r>
    </w:p>
    <w:p>
      <w:pPr>
        <w:spacing w:after="80"/>
      </w:pPr>
      <w:r>
        <w:rPr>
          <w:rFonts w:ascii="Segoe UI" w:hAnsi="Segoe UI"/>
          <w:color w:val="485670"/>
          <w:sz w:val="20"/>
        </w:rPr>
        <w:t>Supported sources include ADLS Gen2, Azure SQL, SFTP, Oracle, MySQL, and other connectors supported by ADF. Sources are registered as reference entries in the metadata schema — no pipeline changes are required when adding a new source type.</w:t>
      </w:r>
    </w:p>
    <w:p>
      <w:pPr>
        <w:spacing w:before="240" w:after="60"/>
      </w:pPr>
      <w:r>
        <w:rPr>
          <w:rFonts w:ascii="Segoe UI" w:hAnsi="Segoe UI"/>
          <w:b/>
          <w:color w:val="1B2238"/>
          <w:sz w:val="22"/>
        </w:rPr>
        <w:t>Layer 2 — Azure Data Factory (Orchestration)</w:t>
      </w:r>
    </w:p>
    <w:p>
      <w:pPr>
        <w:spacing w:after="80"/>
      </w:pPr>
      <w:r>
        <w:rPr>
          <w:rFonts w:ascii="Segoe UI" w:hAnsi="Segoe UI"/>
          <w:color w:val="485670"/>
          <w:sz w:val="20"/>
        </w:rPr>
        <w:t>Generic ADF pipelines execute a three-step pattern at runtime:</w:t>
      </w:r>
    </w:p>
    <w:p>
      <w:pPr>
        <w:pStyle w:val="ListNumber"/>
        <w:spacing w:after="60"/>
        <w:ind w:left="340"/>
      </w:pPr>
      <w:r>
        <w:rPr>
          <w:rFonts w:ascii="Segoe UI" w:hAnsi="Segoe UI"/>
          <w:color w:val="485670"/>
          <w:sz w:val="20"/>
        </w:rPr>
        <w:t>Lookup — Queries EDP_Metadata.MasterRef view; resolves the complete runtime configuration for the job in a single call.</w:t>
      </w:r>
    </w:p>
    <w:p>
      <w:pPr>
        <w:pStyle w:val="ListNumber"/>
        <w:spacing w:after="60"/>
        <w:ind w:left="340"/>
      </w:pPr>
      <w:r>
        <w:rPr>
          <w:rFonts w:ascii="Segoe UI" w:hAnsi="Segoe UI"/>
          <w:color w:val="485670"/>
          <w:sz w:val="20"/>
        </w:rPr>
        <w:t>Switch — Evaluates SwitchCaseRef to route to the correct Copy activity for the source/target/format combination.</w:t>
      </w:r>
    </w:p>
    <w:p>
      <w:pPr>
        <w:pStyle w:val="ListNumber"/>
        <w:spacing w:after="60"/>
        <w:ind w:left="340"/>
      </w:pPr>
      <w:r>
        <w:rPr>
          <w:rFonts w:ascii="Segoe UI" w:hAnsi="Segoe UI"/>
          <w:color w:val="485670"/>
          <w:sz w:val="20"/>
        </w:rPr>
        <w:t>Copy — Executes with fully dynamic expressions; all paths, queries, and connection details are resolved from MetadataSettingsInput / MetadataSettingsOutput JSON at runtime.</w:t>
      </w:r>
    </w:p>
    <w:p>
      <w:pPr>
        <w:spacing w:before="240" w:after="60"/>
      </w:pPr>
      <w:r>
        <w:rPr>
          <w:rFonts w:ascii="Segoe UI" w:hAnsi="Segoe UI"/>
          <w:b/>
          <w:color w:val="1B2238"/>
          <w:sz w:val="22"/>
        </w:rPr>
        <w:t>Layer 3 — Metadata Control Plane (Azure SQL — EDP_Metadata Schema)</w:t>
      </w:r>
    </w:p>
    <w:p>
      <w:pPr>
        <w:spacing w:after="80"/>
      </w:pPr>
      <w:r>
        <w:rPr>
          <w:rFonts w:ascii="Segoe UI" w:hAnsi="Segoe UI"/>
          <w:color w:val="485670"/>
          <w:sz w:val="20"/>
        </w:rPr>
        <w:t>All ADF pipeline behaviour is driven from this schema. The schema consists of a core control table (MetadataRef), a set of normalised lookup tables, and a denormalized runtime view (MasterRef) that ADF queries at pipeline execution time. No configuration is hardcoded in pipeline definitions.</w:t>
      </w:r>
    </w:p>
    <w:p>
      <w:pPr>
        <w:spacing w:before="360" w:after="40"/>
        <w:pBdr>
          <w:bottom w:val="single" w:sz="6" w:space="1" w:color="E3EFF9"/>
        </w:pBdr>
      </w:pPr>
      <w:r>
        <w:rPr>
          <w:rFonts w:ascii="Segoe UI" w:hAnsi="Segoe UI"/>
          <w:b/>
          <w:color w:val="0B68B0"/>
          <w:sz w:val="16"/>
        </w:rPr>
        <w:t xml:space="preserve">04 — METADATA LAYER   </w:t>
      </w:r>
      <w:r>
        <w:rPr>
          <w:rFonts w:ascii="Segoe UI" w:hAnsi="Segoe UI"/>
          <w:b/>
          <w:color w:val="1B2238"/>
          <w:sz w:val="30"/>
        </w:rPr>
        <w:t>Metadata Schema</w:t>
      </w:r>
    </w:p>
    <w:p>
      <w:pPr>
        <w:spacing w:after="80"/>
      </w:pPr>
      <w:r>
        <w:rPr>
          <w:rFonts w:ascii="Segoe UI" w:hAnsi="Segoe UI"/>
          <w:color w:val="485670"/>
          <w:sz w:val="20"/>
        </w:rPr>
        <w:t>All framework configuration lives in the EDP_Metadata schema. It consists of a core control table (MetadataRef), normalised lookup tables, and a denormalized runtime view (MasterRef).</w:t>
      </w:r>
    </w:p>
    <w:p>
      <w:pPr>
        <w:spacing w:before="240" w:after="60"/>
      </w:pPr>
      <w:r>
        <w:rPr>
          <w:rFonts w:ascii="Segoe UI" w:hAnsi="Segoe UI"/>
          <w:b/>
          <w:color w:val="1B2238"/>
          <w:sz w:val="22"/>
        </w:rPr>
        <w:t>Core Control Table — MetadataRef</w:t>
      </w:r>
    </w:p>
    <w:p>
      <w:pPr>
        <w:spacing w:after="80"/>
      </w:pPr>
      <w:r>
        <w:rPr>
          <w:rFonts w:ascii="Segoe UI" w:hAnsi="Segoe UI"/>
          <w:color w:val="485670"/>
          <w:sz w:val="20"/>
        </w:rPr>
        <w:t>Each row represents one ingestion job and carries all parameters required by ADF at runtime.</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COLUMN</w:t>
            </w:r>
          </w:p>
        </w:tc>
        <w:tc>
          <w:tcPr>
            <w:tcW w:type="dxa" w:w="2551"/>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TYPE</w:t>
            </w:r>
          </w:p>
        </w:tc>
        <w:tc>
          <w:tcPr>
            <w:tcW w:type="dxa" w:w="4535"/>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PURPOSE</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Metadata_ID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IDENTITY</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Primary key</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Metadata_Job</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NVARCHAR(200) UNIQUE</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Unique job name — passed as a trigger parameter to identify the job at runtime</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Business_Domain_ID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Classifies the job by business function; references BusinessDomainRef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ADF_Name</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NVARCHAR(100)</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Name of the ADF instance this job belongs to</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Trigger_Name</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NVARCHAR(200)</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ADF trigger name associated with this job</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InputDataset_ID</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Source dataset type; references DatasetRef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OutputDataset_ID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Target dataset type; references DatasetRef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Input_colDelRefID</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Source column delimiter; references colDelimitterRef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Output_colDelRefID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Target column delimiter; references colDelimitterRef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InputLinkedServiceConnectionID</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Source connection; references LinkedServiceRef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OutputLinkedServiceConnectionID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Target connection; references LinkedServiceRef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MetadataSettingsInput</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NVARCHAR(MAX) JSON</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Runtime source parameters: container, path, filename, SQL query, schema, table, server, etc.</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MetadataSettingsOutput</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NVARCHAR(MAX) JSON</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Runtime target parameters: container, directory, filename, schema, table, etc.</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ActivityType</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BIT</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0 = Ingress   |   1 = Egress</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IsActive</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BIT</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1 = Active   |   0 = Inactive — master on/off switch for any job</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Load_Type</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BIT</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0 = Full Refresh   |   1 = Incremental</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Watermark_ID</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INT (FK, nullable)</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NULL for Full Refresh; references Watermark table for Incremental jobs</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Created_Date</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DATETIME</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Auto-set on insert via default constraint</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Modified_Date</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DATETIME</w:t>
            </w:r>
          </w:p>
        </w:tc>
        <w:tc>
          <w:tcPr>
            <w:tcW w:type="dxa" w:w="4535"/>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Tracks last modification timestamp</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Modified_By</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NVARCHAR(100)</w:t>
            </w:r>
          </w:p>
        </w:tc>
        <w:tc>
          <w:tcPr>
            <w:tcW w:type="dxa" w:w="4535"/>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Captures the database user who last modified the row; auto-set via SUSER_SNAME()</w:t>
            </w:r>
          </w:p>
        </w:tc>
      </w:tr>
    </w:tbl>
    <w:p/>
    <w:p>
      <w:pPr>
        <w:spacing w:before="240" w:after="60"/>
      </w:pPr>
      <w:r>
        <w:rPr>
          <w:rFonts w:ascii="Segoe UI" w:hAnsi="Segoe UI"/>
          <w:b/>
          <w:color w:val="1B2238"/>
          <w:sz w:val="22"/>
        </w:rPr>
        <w:t>Runtime View — MasterRef</w:t>
      </w:r>
    </w:p>
    <w:p>
      <w:pPr>
        <w:spacing w:after="80"/>
      </w:pPr>
      <w:r>
        <w:rPr>
          <w:rFonts w:ascii="Segoe UI" w:hAnsi="Segoe UI"/>
          <w:color w:val="485670"/>
          <w:sz w:val="20"/>
        </w:rPr>
        <w:t>EDP_Metadata.MasterRef is a denormalized view that joins MetadataRef with all its lookup tables. The ADF Lookup activity targets this view to retrieve the complete runtime configuration for a given Metadata_Job in a single query. The view also derives two computed values:</w:t>
      </w:r>
    </w:p>
    <w:p>
      <w:pPr>
        <w:pStyle w:val="ListBullet"/>
        <w:spacing w:after="40"/>
        <w:ind w:left="340"/>
      </w:pPr>
      <w:r>
        <w:rPr>
          <w:rFonts w:ascii="Segoe UI" w:hAnsi="Segoe UI"/>
          <w:b/>
          <w:color w:val="1B2238"/>
          <w:sz w:val="20"/>
        </w:rPr>
        <w:t xml:space="preserve">Pipeline_Name — </w:t>
      </w:r>
      <w:r>
        <w:rPr>
          <w:rFonts w:ascii="Segoe UI" w:hAnsi="Segoe UI"/>
          <w:color w:val="485670"/>
          <w:sz w:val="20"/>
        </w:rPr>
        <w:t>Derived from input source reference, output source reference, load type, and activity direction. Format: PL_{InputSource}_{OutputSource}_{FULL|Delta}_{INGRESS|EGRESS}</w:t>
      </w:r>
    </w:p>
    <w:p>
      <w:pPr>
        <w:pStyle w:val="ListBullet"/>
        <w:spacing w:after="40"/>
        <w:ind w:left="340"/>
      </w:pPr>
      <w:r>
        <w:rPr>
          <w:rFonts w:ascii="Segoe UI" w:hAnsi="Segoe UI"/>
          <w:b/>
          <w:color w:val="1B2238"/>
          <w:sz w:val="20"/>
        </w:rPr>
        <w:t xml:space="preserve">SwitchCaseRef — </w:t>
      </w:r>
      <w:r>
        <w:rPr>
          <w:rFonts w:ascii="Segoe UI" w:hAnsi="Segoe UI"/>
          <w:color w:val="485670"/>
          <w:sz w:val="20"/>
        </w:rPr>
        <w:t>Derived from the input and output linked service names and file formats. Used by the ADF Switch activity to select the correct Copy activity for the connector/format combination.</w:t>
      </w:r>
    </w:p>
    <w:p>
      <w:pPr>
        <w:spacing w:before="240" w:after="60"/>
      </w:pPr>
      <w:r>
        <w:rPr>
          <w:rFonts w:ascii="Segoe UI" w:hAnsi="Segoe UI"/>
          <w:b/>
          <w:color w:val="1B2238"/>
          <w:sz w:val="22"/>
        </w:rPr>
        <w:t>Lookup Tables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TABLE</w:t>
            </w:r>
          </w:p>
        </w:tc>
        <w:tc>
          <w:tcPr>
            <w:tcW w:type="dxa" w:w="5386"/>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PURPOSE</w:t>
            </w:r>
          </w:p>
        </w:tc>
        <w:tc>
          <w:tcPr>
            <w:tcW w:type="dxa" w:w="2551"/>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KEY COLUMNS</w:t>
            </w:r>
          </w:p>
        </w:tc>
      </w:tr>
      <w:tr>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SourceRef</w:t>
            </w:r>
          </w:p>
        </w:tc>
        <w:tc>
          <w:tcPr>
            <w:tcW w:type="dxa" w:w="5386"/>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Registry of all supported data source types. Source_Ref is the short code used in naming conventions.</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Source</w:t>
            </w:r>
            <w:r>
              <w:rPr>
                <w:rFonts w:ascii="Segoe UI" w:hAnsi="Segoe UI"/>
                <w:b w:val="0"/>
                <w:color w:val="485670"/>
                <w:sz w:val="18"/>
              </w:rPr>
              <w:t xml:space="preserve">, </w:t>
            </w:r>
            <w:r>
              <w:rPr>
                <w:rFonts w:ascii="Consolas" w:hAnsi="Consolas"/>
                <w:color w:val="0B68B0"/>
                <w:sz w:val="17"/>
              </w:rPr>
              <w:t>Source_Ref</w:t>
            </w:r>
          </w:p>
        </w:tc>
      </w:tr>
      <w:tr>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FileFormat</w:t>
            </w:r>
          </w:p>
        </w:tc>
        <w:tc>
          <w:tcPr>
            <w:tcW w:type="dxa" w:w="5386"/>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Lookup of all supported file formats (e.g. CSV, Parquet, ZIP). Not applicable to table-based sources — those use a TABLE suffix.</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Format</w:t>
            </w:r>
          </w:p>
        </w:tc>
      </w:tr>
      <w:tr>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DatasetRef</w:t>
            </w:r>
          </w:p>
        </w:tc>
        <w:tc>
          <w:tcPr>
            <w:tcW w:type="dxa" w:w="5386"/>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Unique Source + FileFormat combinations defining available ADF dataset types. Named DS_{Source_Ref}_{Format}. FileFormat_ID is NULL for database sources.</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Dataset_Name</w:t>
            </w:r>
            <w:r>
              <w:rPr>
                <w:rFonts w:ascii="Segoe UI" w:hAnsi="Segoe UI"/>
                <w:b w:val="0"/>
                <w:color w:val="485670"/>
                <w:sz w:val="18"/>
              </w:rPr>
              <w:t xml:space="preserve">, </w:t>
            </w:r>
            <w:r>
              <w:rPr>
                <w:rFonts w:ascii="Consolas" w:hAnsi="Consolas"/>
                <w:color w:val="0B68B0"/>
                <w:sz w:val="17"/>
              </w:rPr>
              <w:t>Source_ID</w:t>
            </w:r>
            <w:r>
              <w:rPr>
                <w:rFonts w:ascii="Segoe UI" w:hAnsi="Segoe UI"/>
                <w:b w:val="0"/>
                <w:color w:val="485670"/>
                <w:sz w:val="18"/>
              </w:rPr>
              <w:t xml:space="preserve">, </w:t>
            </w:r>
            <w:r>
              <w:rPr>
                <w:rFonts w:ascii="Consolas" w:hAnsi="Consolas"/>
                <w:color w:val="0B68B0"/>
                <w:sz w:val="17"/>
              </w:rPr>
              <w:t>FileFormat_ID</w:t>
            </w:r>
          </w:p>
        </w:tc>
      </w:tr>
      <w:tr>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LinkedServiceRef</w:t>
            </w:r>
          </w:p>
        </w:tc>
        <w:tc>
          <w:tcPr>
            <w:tcW w:type="dxa" w:w="5386"/>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Catalogue of all ADF linked services. Connection strings stored as JSON templates; runtime values supplied dynamically. Named LS_{Source_Ref}_{Auth_Ref}.</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LinkedServiceName</w:t>
            </w:r>
            <w:r>
              <w:rPr>
                <w:rFonts w:ascii="Segoe UI" w:hAnsi="Segoe UI"/>
                <w:b w:val="0"/>
                <w:color w:val="485670"/>
                <w:sz w:val="18"/>
              </w:rPr>
              <w:t xml:space="preserve">, </w:t>
            </w:r>
            <w:r>
              <w:rPr>
                <w:rFonts w:ascii="Consolas" w:hAnsi="Consolas"/>
                <w:color w:val="0B68B0"/>
                <w:sz w:val="17"/>
              </w:rPr>
              <w:t>LinkedServiceConnectionString</w:t>
            </w:r>
          </w:p>
        </w:tc>
      </w:tr>
      <w:tr>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SystemAuth</w:t>
            </w:r>
          </w:p>
        </w:tc>
        <w:tc>
          <w:tcPr>
            <w:tcW w:type="dxa" w:w="5386"/>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Registry of all supported authentication types for ADF linked services. Connectors column records which source types each auth method applies to.</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Authentication_Type</w:t>
            </w:r>
            <w:r>
              <w:rPr>
                <w:rFonts w:ascii="Segoe UI" w:hAnsi="Segoe UI"/>
                <w:b w:val="0"/>
                <w:color w:val="485670"/>
                <w:sz w:val="18"/>
              </w:rPr>
              <w:t xml:space="preserve">, </w:t>
            </w:r>
            <w:r>
              <w:rPr>
                <w:rFonts w:ascii="Consolas" w:hAnsi="Consolas"/>
                <w:color w:val="0B68B0"/>
                <w:sz w:val="17"/>
              </w:rPr>
              <w:t>Auth_Ref</w:t>
            </w:r>
            <w:r>
              <w:rPr>
                <w:rFonts w:ascii="Segoe UI" w:hAnsi="Segoe UI"/>
                <w:b w:val="0"/>
                <w:color w:val="485670"/>
                <w:sz w:val="18"/>
              </w:rPr>
              <w:t xml:space="preserve">, </w:t>
            </w:r>
            <w:r>
              <w:rPr>
                <w:rFonts w:ascii="Consolas" w:hAnsi="Consolas"/>
                <w:color w:val="0B68B0"/>
                <w:sz w:val="17"/>
              </w:rPr>
              <w:t>Connectors</w:t>
            </w:r>
          </w:p>
        </w:tc>
      </w:tr>
      <w:tr>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BusinessDomainRef</w:t>
            </w:r>
          </w:p>
        </w:tc>
        <w:tc>
          <w:tcPr>
            <w:tcW w:type="dxa" w:w="5386"/>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Lookup of business domains. Every ingestion job is classified by its owning business function.</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Business_Domain_Name</w:t>
            </w:r>
          </w:p>
        </w:tc>
      </w:tr>
      <w:tr>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colDelimitterRef</w:t>
            </w:r>
          </w:p>
        </w:tc>
        <w:tc>
          <w:tcPr>
            <w:tcW w:type="dxa" w:w="5386"/>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Column delimiter reference for file-based sources and targets. Values: Comma, Semicolon, Pipe, Tab, Start of Heading, No Delimiter.</w:t>
            </w:r>
          </w:p>
        </w:tc>
        <w:tc>
          <w:tcPr>
            <w:tcW w:type="dxa" w:w="2551"/>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colDelRefName</w:t>
            </w:r>
            <w:r>
              <w:rPr>
                <w:rFonts w:ascii="Segoe UI" w:hAnsi="Segoe UI"/>
                <w:b w:val="0"/>
                <w:color w:val="485670"/>
                <w:sz w:val="18"/>
              </w:rPr>
              <w:t xml:space="preserve">, </w:t>
            </w:r>
            <w:r>
              <w:rPr>
                <w:rFonts w:ascii="Consolas" w:hAnsi="Consolas"/>
                <w:color w:val="0B68B0"/>
                <w:sz w:val="17"/>
              </w:rPr>
              <w:t>colDelRefValue</w:t>
            </w:r>
          </w:p>
        </w:tc>
      </w:tr>
      <w:tr>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Watermark</w:t>
            </w:r>
          </w:p>
        </w:tc>
        <w:tc>
          <w:tcPr>
            <w:tcW w:type="dxa" w:w="5386"/>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Stores the high-water mark per incremental job. Watermark_Value (DATETIME) is updated after each successful run. Watermark_Column identifies the source column used to filter new records.</w:t>
            </w:r>
          </w:p>
        </w:tc>
        <w:tc>
          <w:tcPr>
            <w:tcW w:type="dxa" w:w="2551"/>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Watermark_Value</w:t>
            </w:r>
            <w:r>
              <w:rPr>
                <w:rFonts w:ascii="Segoe UI" w:hAnsi="Segoe UI"/>
                <w:b w:val="0"/>
                <w:color w:val="485670"/>
                <w:sz w:val="18"/>
              </w:rPr>
              <w:t xml:space="preserve">, </w:t>
            </w:r>
            <w:r>
              <w:rPr>
                <w:rFonts w:ascii="Consolas" w:hAnsi="Consolas"/>
                <w:color w:val="0B68B0"/>
                <w:sz w:val="17"/>
              </w:rPr>
              <w:t>Watermark_Column</w:t>
            </w:r>
          </w:p>
        </w:tc>
      </w:tr>
    </w:tbl>
    <w:p/>
    <w:p>
      <w:pPr>
        <w:spacing w:before="360" w:after="40"/>
        <w:pBdr>
          <w:bottom w:val="single" w:sz="6" w:space="1" w:color="E3EFF9"/>
        </w:pBdr>
      </w:pPr>
      <w:r>
        <w:rPr>
          <w:rFonts w:ascii="Segoe UI" w:hAnsi="Segoe UI"/>
          <w:b/>
          <w:color w:val="0B68B0"/>
          <w:sz w:val="16"/>
        </w:rPr>
        <w:t xml:space="preserve">05 — EXECUTION MODEL   </w:t>
      </w:r>
      <w:r>
        <w:rPr>
          <w:rFonts w:ascii="Segoe UI" w:hAnsi="Segoe UI"/>
          <w:b/>
          <w:color w:val="1B2238"/>
          <w:sz w:val="30"/>
        </w:rPr>
        <w:t>Runtime Execution Model</w:t>
      </w:r>
    </w:p>
    <w:p>
      <w:pPr>
        <w:spacing w:after="80"/>
      </w:pPr>
      <w:r>
        <w:rPr>
          <w:rFonts w:ascii="Segoe UI" w:hAnsi="Segoe UI"/>
          <w:color w:val="485670"/>
          <w:sz w:val="20"/>
        </w:rPr>
        <w:t>At runtime, ADF resolves all parameters from the metadata control plane. No configuration is embedded in the pipeline definition. The execution sequence is identical for any ingestion job regardless of source, target, or load pattern:</w:t>
      </w:r>
    </w:p>
    <w:p>
      <w:pPr>
        <w:pStyle w:val="ListNumber"/>
        <w:spacing w:after="60"/>
        <w:ind w:left="340"/>
      </w:pPr>
      <w:r>
        <w:rPr>
          <w:rFonts w:ascii="Segoe UI" w:hAnsi="Segoe UI"/>
          <w:color w:val="485670"/>
          <w:sz w:val="20"/>
        </w:rPr>
        <w:t>A scheduled or event-based trigger fires in Azure Data Factory, passing the Metadata_Job name as a pipeline parameter.</w:t>
      </w:r>
    </w:p>
    <w:p>
      <w:pPr>
        <w:pStyle w:val="ListNumber"/>
        <w:spacing w:after="60"/>
        <w:ind w:left="340"/>
      </w:pPr>
      <w:r>
        <w:rPr>
          <w:rFonts w:ascii="Segoe UI" w:hAnsi="Segoe UI"/>
          <w:color w:val="485670"/>
          <w:sz w:val="20"/>
        </w:rPr>
        <w:t>A Lookup activity queries EDP_Metadata.MasterRef, returning the complete runtime configuration — source and target connections, dataset types, file formats, column delimiters, load type, watermark state, and JSON runtime settings — in a single row.</w:t>
      </w:r>
    </w:p>
    <w:p>
      <w:pPr>
        <w:pStyle w:val="ListNumber"/>
        <w:spacing w:after="60"/>
        <w:ind w:left="340"/>
      </w:pPr>
      <w:r>
        <w:rPr>
          <w:rFonts w:ascii="Segoe UI" w:hAnsi="Segoe UI"/>
          <w:color w:val="485670"/>
          <w:sz w:val="20"/>
        </w:rPr>
        <w:t>A Switch activity evaluates the SwitchCaseRef value from the Lookup result to route execution to the correct Copy activity for the connector and file format combination.</w:t>
      </w:r>
    </w:p>
    <w:p>
      <w:pPr>
        <w:pStyle w:val="ListNumber"/>
        <w:spacing w:after="60"/>
        <w:ind w:left="340"/>
      </w:pPr>
      <w:r>
        <w:rPr>
          <w:rFonts w:ascii="Segoe UI" w:hAnsi="Segoe UI"/>
          <w:color w:val="485670"/>
          <w:sz w:val="20"/>
        </w:rPr>
        <w:t>The Copy activity executes using fully dynamic ADF expressions. Container names, directory paths, filenames, SQL queries, schema and table names are all sourced from MetadataSettingsInput and MetadataSettingsOutput JSON at runtime — nothing is hardcoded in the pipeline definition.</w:t>
      </w:r>
    </w:p>
    <w:p>
      <w:pPr>
        <w:pStyle w:val="ListNumber"/>
        <w:spacing w:after="60"/>
        <w:ind w:left="340"/>
      </w:pPr>
      <w:r>
        <w:rPr>
          <w:rFonts w:ascii="Segoe UI" w:hAnsi="Segoe UI"/>
          <w:color w:val="485670"/>
          <w:sz w:val="20"/>
        </w:rPr>
        <w:t>For Incremental jobs: Watermark_Column and the current Watermark_Value are applied as a source-side filter. On successful completion, Watermark_Value is updated to the current high-water mark.</w:t>
      </w:r>
    </w:p>
    <w:p>
      <w:pPr>
        <w:spacing w:before="360" w:after="40"/>
        <w:pBdr>
          <w:bottom w:val="single" w:sz="6" w:space="1" w:color="E3EFF9"/>
        </w:pBdr>
      </w:pPr>
      <w:r>
        <w:rPr>
          <w:rFonts w:ascii="Segoe UI" w:hAnsi="Segoe UI"/>
          <w:b/>
          <w:color w:val="0B68B0"/>
          <w:sz w:val="16"/>
        </w:rPr>
        <w:t xml:space="preserve">06 — LOAD PATTERNS   </w:t>
      </w:r>
      <w:r>
        <w:rPr>
          <w:rFonts w:ascii="Segoe UI" w:hAnsi="Segoe UI"/>
          <w:b/>
          <w:color w:val="1B2238"/>
          <w:sz w:val="30"/>
        </w:rPr>
        <w:t>Load Patterns</w:t>
      </w:r>
    </w:p>
    <w:p>
      <w:pPr>
        <w:spacing w:after="80"/>
      </w:pPr>
      <w:r>
        <w:rPr>
          <w:rFonts w:ascii="Segoe UI" w:hAnsi="Segoe UI"/>
          <w:color w:val="485670"/>
          <w:sz w:val="20"/>
        </w:rPr>
        <w:t>The framework supports two load patterns, controlled by the Load_Type flag on MetadataRef. Both patterns flow through the same generic ADF pipeline — the metadata determines the behaviour.</w:t>
      </w:r>
    </w:p>
    <w:p>
      <w:pPr>
        <w:spacing w:before="240" w:after="60"/>
      </w:pPr>
      <w:r>
        <w:rPr>
          <w:rFonts w:ascii="Segoe UI" w:hAnsi="Segoe UI"/>
          <w:b/>
          <w:color w:val="1B2238"/>
          <w:sz w:val="22"/>
        </w:rPr>
        <w:t>Full Refresh  (Load_Type = 0)</w:t>
      </w:r>
    </w:p>
    <w:p>
      <w:pPr>
        <w:spacing w:after="80"/>
      </w:pPr>
      <w:r>
        <w:rPr>
          <w:rFonts w:ascii="Segoe UI" w:hAnsi="Segoe UI"/>
          <w:color w:val="485670"/>
          <w:sz w:val="20"/>
        </w:rPr>
        <w:t>The entire dataset is read from source and written to the target on each run. Used for reference data, small dimension tables, or sources where change tracking is not available or required.</w:t>
      </w:r>
    </w:p>
    <w:p>
      <w:pPr>
        <w:pStyle w:val="ListBullet"/>
        <w:spacing w:after="40"/>
        <w:ind w:left="340"/>
      </w:pPr>
      <w:r>
        <w:rPr>
          <w:rFonts w:ascii="Segoe UI" w:hAnsi="Segoe UI"/>
          <w:color w:val="485670"/>
          <w:sz w:val="20"/>
        </w:rPr>
        <w:t>Watermark_ID is NULL — no high-water mark is maintained.</w:t>
      </w:r>
    </w:p>
    <w:p>
      <w:pPr>
        <w:pStyle w:val="ListBullet"/>
        <w:spacing w:after="40"/>
        <w:ind w:left="340"/>
      </w:pPr>
      <w:r>
        <w:rPr>
          <w:rFonts w:ascii="Segoe UI" w:hAnsi="Segoe UI"/>
          <w:color w:val="485670"/>
          <w:sz w:val="20"/>
        </w:rPr>
        <w:t>No source-side filter is applied; all records are copied on every run.</w:t>
      </w:r>
    </w:p>
    <w:p>
      <w:pPr>
        <w:pStyle w:val="ListBullet"/>
        <w:spacing w:after="40"/>
        <w:ind w:left="340"/>
      </w:pPr>
      <w:r>
        <w:rPr>
          <w:rFonts w:ascii="Segoe UI" w:hAnsi="Segoe UI"/>
          <w:color w:val="485670"/>
          <w:sz w:val="20"/>
        </w:rPr>
        <w:t>Pipeline name carries the FULL suffix.</w:t>
      </w:r>
    </w:p>
    <w:p>
      <w:pPr>
        <w:spacing w:after="80"/>
      </w:pPr>
      <w:r>
        <w:rPr>
          <w:rFonts w:ascii="Segoe UI" w:hAnsi="Segoe UI"/>
          <w:color w:val="485670"/>
          <w:sz w:val="20"/>
        </w:rPr>
        <w:t>Flow:  Trigger fires  →  Lookup MasterRef  →  Switch on SwitchCaseRef  →  Copy all rows  →  Target refreshed</w:t>
      </w:r>
    </w:p>
    <w:p>
      <w:pPr>
        <w:spacing w:before="240" w:after="60"/>
      </w:pPr>
      <w:r>
        <w:rPr>
          <w:rFonts w:ascii="Segoe UI" w:hAnsi="Segoe UI"/>
          <w:b/>
          <w:color w:val="1B2238"/>
          <w:sz w:val="22"/>
        </w:rPr>
        <w:t>Incremental / Delta  (Load_Type = 1)</w:t>
      </w:r>
    </w:p>
    <w:p>
      <w:pPr>
        <w:spacing w:after="80"/>
      </w:pPr>
      <w:r>
        <w:rPr>
          <w:rFonts w:ascii="Segoe UI" w:hAnsi="Segoe UI"/>
          <w:color w:val="485670"/>
          <w:sz w:val="20"/>
        </w:rPr>
        <w:t>Only records added or changed since the last successful run are copied. The high-water mark is maintained in the Watermark table and updated after each successful load. Suited to large transactional datasets where a full reload on each run is not practical.</w:t>
      </w:r>
    </w:p>
    <w:p>
      <w:pPr>
        <w:pStyle w:val="ListBullet"/>
        <w:spacing w:after="40"/>
        <w:ind w:left="340"/>
      </w:pPr>
      <w:r>
        <w:rPr>
          <w:rFonts w:ascii="Segoe UI" w:hAnsi="Segoe UI"/>
          <w:color w:val="485670"/>
          <w:sz w:val="20"/>
        </w:rPr>
        <w:t>Watermark_ID references a row in the Watermark table.</w:t>
      </w:r>
    </w:p>
    <w:p>
      <w:pPr>
        <w:pStyle w:val="ListBullet"/>
        <w:spacing w:after="40"/>
        <w:ind w:left="340"/>
      </w:pPr>
      <w:r>
        <w:rPr>
          <w:rFonts w:ascii="Segoe UI" w:hAnsi="Segoe UI"/>
          <w:color w:val="485670"/>
          <w:sz w:val="20"/>
        </w:rPr>
        <w:t>Watermark_Column identifies the datetime column used to filter new records at source.</w:t>
      </w:r>
    </w:p>
    <w:p>
      <w:pPr>
        <w:pStyle w:val="ListBullet"/>
        <w:spacing w:after="40"/>
        <w:ind w:left="340"/>
      </w:pPr>
      <w:r>
        <w:rPr>
          <w:rFonts w:ascii="Segoe UI" w:hAnsi="Segoe UI"/>
          <w:color w:val="485670"/>
          <w:sz w:val="20"/>
        </w:rPr>
        <w:t>Watermark_Value holds the last successfully loaded datetime boundary.</w:t>
      </w:r>
    </w:p>
    <w:p>
      <w:pPr>
        <w:pStyle w:val="ListBullet"/>
        <w:spacing w:after="40"/>
        <w:ind w:left="340"/>
      </w:pPr>
      <w:r>
        <w:rPr>
          <w:rFonts w:ascii="Segoe UI" w:hAnsi="Segoe UI"/>
          <w:color w:val="485670"/>
          <w:sz w:val="20"/>
        </w:rPr>
        <w:t>Source query filtered: records where {Watermark_Column} &gt; {last Watermark_Value} are retrieved.</w:t>
      </w:r>
    </w:p>
    <w:p>
      <w:pPr>
        <w:pStyle w:val="ListBullet"/>
        <w:spacing w:after="40"/>
        <w:ind w:left="340"/>
      </w:pPr>
      <w:r>
        <w:rPr>
          <w:rFonts w:ascii="Segoe UI" w:hAnsi="Segoe UI"/>
          <w:color w:val="485670"/>
          <w:sz w:val="20"/>
        </w:rPr>
        <w:t>After a successful copy, Watermark_Value is updated to the current boundary.</w:t>
      </w:r>
    </w:p>
    <w:p>
      <w:pPr>
        <w:pStyle w:val="ListBullet"/>
        <w:spacing w:after="40"/>
        <w:ind w:left="340"/>
      </w:pPr>
      <w:r>
        <w:rPr>
          <w:rFonts w:ascii="Segoe UI" w:hAnsi="Segoe UI"/>
          <w:color w:val="485670"/>
          <w:sz w:val="20"/>
        </w:rPr>
        <w:t>Pipeline name carries the Delta suffix.</w:t>
      </w:r>
    </w:p>
    <w:p>
      <w:pPr>
        <w:spacing w:after="80"/>
      </w:pPr>
      <w:r>
        <w:rPr>
          <w:rFonts w:ascii="Segoe UI" w:hAnsi="Segoe UI"/>
          <w:color w:val="485670"/>
          <w:sz w:val="20"/>
        </w:rPr>
        <w:t>Flow:  Trigger fires  →  Lookup MasterRef + Watermark  →  Filter source by Watermark  →  Copy delta rows  →  Update Watermark_Value</w:t>
      </w:r>
    </w:p>
    <w:p>
      <w:pPr>
        <w:spacing w:before="120" w:after="120"/>
        <w:ind w:left="227"/>
        <w:shd w:val="clear" w:color="auto" w:fill="E3EFF9"/>
        <w:pBdr>
          <w:left w:val="single" w:sz="18" w:space="4" w:color="854D0E"/>
        </w:pBdr>
      </w:pPr>
      <w:r>
        <w:rPr>
          <w:color w:val="485670"/>
          <w:sz w:val="20"/>
        </w:rPr>
        <w:t>Note: The Watermark tracking infrastructure — the Watermark table, its foreign key to MetadataRef, and the Watermark_Value / Watermark_Column columns exposed by the MasterRef view — is fully in place. Incremental pipeline execution logic is designed and pipeline implementation is in progress.</w:t>
      </w:r>
    </w:p>
    <w:p>
      <w:pPr>
        <w:spacing w:before="240" w:after="60"/>
      </w:pPr>
      <w:r>
        <w:rPr>
          <w:rFonts w:ascii="Segoe UI" w:hAnsi="Segoe UI"/>
          <w:b/>
          <w:color w:val="1B2238"/>
          <w:sz w:val="22"/>
        </w:rPr>
        <w:t>Activity Direction</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ACTIVITYTYPE</w:t>
            </w:r>
          </w:p>
        </w:tc>
        <w:tc>
          <w:tcPr>
            <w:tcW w:type="dxa" w:w="3402"/>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DIRECTION</w:t>
            </w:r>
          </w:p>
        </w:tc>
        <w:tc>
          <w:tcPr>
            <w:tcW w:type="dxa" w:w="4819"/>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TYPICAL USE</w:t>
            </w:r>
          </w:p>
        </w:tc>
      </w:tr>
      <w:tr>
        <w:tc>
          <w:tcPr>
            <w:tcW w:type="dxa" w:w="226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0 — Ingress</w:t>
            </w:r>
          </w:p>
        </w:tc>
        <w:tc>
          <w:tcPr>
            <w:tcW w:type="dxa" w:w="340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Source system → Data platform</w:t>
            </w:r>
          </w:p>
        </w:tc>
        <w:tc>
          <w:tcPr>
            <w:tcW w:type="dxa" w:w="4819"/>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Pulling data from source systems into the landing or staging zone</w:t>
            </w:r>
          </w:p>
        </w:tc>
      </w:tr>
      <w:tr>
        <w:tc>
          <w:tcPr>
            <w:tcW w:type="dxa" w:w="226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1 — Egress</w:t>
            </w:r>
          </w:p>
        </w:tc>
        <w:tc>
          <w:tcPr>
            <w:tcW w:type="dxa" w:w="340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Data platform → Consumer</w:t>
            </w:r>
          </w:p>
        </w:tc>
        <w:tc>
          <w:tcPr>
            <w:tcW w:type="dxa" w:w="4819"/>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Pushing processed data from the platform to downstream consumers or targets</w:t>
            </w:r>
          </w:p>
        </w:tc>
      </w:tr>
    </w:tbl>
    <w:p/>
    <w:p>
      <w:pPr>
        <w:spacing w:before="360" w:after="40"/>
        <w:pBdr>
          <w:bottom w:val="single" w:sz="6" w:space="1" w:color="E3EFF9"/>
        </w:pBdr>
      </w:pPr>
      <w:r>
        <w:rPr>
          <w:rFonts w:ascii="Segoe UI" w:hAnsi="Segoe UI"/>
          <w:b/>
          <w:color w:val="0B68B0"/>
          <w:sz w:val="16"/>
        </w:rPr>
        <w:t xml:space="preserve">07 — CONVENTIONS   </w:t>
      </w:r>
      <w:r>
        <w:rPr>
          <w:rFonts w:ascii="Segoe UI" w:hAnsi="Segoe UI"/>
          <w:b/>
          <w:color w:val="1B2238"/>
          <w:sz w:val="30"/>
        </w:rPr>
        <w:t>Naming Conventions</w:t>
      </w:r>
    </w:p>
    <w:p>
      <w:pPr>
        <w:spacing w:after="80"/>
      </w:pPr>
      <w:r>
        <w:rPr>
          <w:rFonts w:ascii="Segoe UI" w:hAnsi="Segoe UI"/>
          <w:color w:val="485670"/>
          <w:sz w:val="20"/>
        </w:rPr>
        <w:t>All ADF artifact names are derived from metadata, not manually assigned. The MasterRef view computes pipeline names and switch case references at runtime from the source, target, load type, and connector combination registered in the reference tables.</w:t>
      </w:r>
    </w:p>
    <w:p>
      <w:pPr>
        <w:spacing w:before="240" w:after="60"/>
      </w:pPr>
      <w:r>
        <w:rPr>
          <w:rFonts w:ascii="Segoe UI" w:hAnsi="Segoe UI"/>
          <w:b/>
          <w:color w:val="1B2238"/>
          <w:sz w:val="22"/>
        </w:rPr>
        <w:t>Pipeline Name</w:t>
      </w:r>
    </w:p>
    <w:p>
      <w:pPr>
        <w:spacing w:before="80" w:after="160"/>
        <w:ind w:left="227"/>
        <w:shd w:val="clear" w:color="auto" w:fill="EBF0F8"/>
      </w:pPr>
      <w:r>
        <w:rPr>
          <w:rFonts w:ascii="Consolas" w:hAnsi="Consolas"/>
          <w:color w:val="485670"/>
          <w:sz w:val="17"/>
        </w:rPr>
        <w:t>PL_{InputSource}_{OutputSource}_{FULL|Delta}_{INGRESS|EGRESS}</w:t>
        <w:br/>
        <w:br/>
        <w:t>Examples:</w:t>
        <w:br/>
        <w:t xml:space="preserve">  PL_ADLS_ADLS_FULL_INGRESS      Full refresh, ADLS Gen2 source to ADLS Gen2 target</w:t>
        <w:br/>
        <w:t xml:space="preserve">  PL_ASQL_ADLS_Delta_INGRESS     Incremental, Azure SQL source to ADLS Gen2 target</w:t>
        <w:br/>
        <w:t xml:space="preserve">  PL_SFTP_ADLS_FULL_INGRESS      Full refresh, SFTP source to ADLS Gen2 target</w:t>
      </w:r>
    </w:p>
    <w:p>
      <w:pPr>
        <w:spacing w:before="240" w:after="60"/>
      </w:pPr>
      <w:r>
        <w:rPr>
          <w:rFonts w:ascii="Segoe UI" w:hAnsi="Segoe UI"/>
          <w:b/>
          <w:color w:val="1B2238"/>
          <w:sz w:val="22"/>
        </w:rPr>
        <w:t>Dataset Name</w:t>
      </w:r>
    </w:p>
    <w:p>
      <w:pPr>
        <w:spacing w:before="80" w:after="160"/>
        <w:ind w:left="227"/>
        <w:shd w:val="clear" w:color="auto" w:fill="EBF0F8"/>
      </w:pPr>
      <w:r>
        <w:rPr>
          <w:rFonts w:ascii="Consolas" w:hAnsi="Consolas"/>
          <w:color w:val="485670"/>
          <w:sz w:val="17"/>
        </w:rPr>
        <w:t>DS_{Source_Ref}_{Format}</w:t>
        <w:br/>
        <w:br/>
        <w:t>Examples:</w:t>
        <w:br/>
        <w:t xml:space="preserve">  DS_ADLS_PARQUET    ADLS Gen2 with Parquet format</w:t>
        <w:br/>
        <w:t xml:space="preserve">  DS_ADLS_CSV        ADLS Gen2 with CSV format</w:t>
        <w:br/>
        <w:t xml:space="preserve">  DS_ASQL_TABLE      Azure SQL — table-based, no file format</w:t>
        <w:br/>
        <w:t xml:space="preserve">  DS_SFTP_ZIP        SFTP with ZIP format</w:t>
      </w:r>
    </w:p>
    <w:p>
      <w:pPr>
        <w:spacing w:before="240" w:after="60"/>
      </w:pPr>
      <w:r>
        <w:rPr>
          <w:rFonts w:ascii="Segoe UI" w:hAnsi="Segoe UI"/>
          <w:b/>
          <w:color w:val="1B2238"/>
          <w:sz w:val="22"/>
        </w:rPr>
        <w:t>Linked Service Name</w:t>
      </w:r>
    </w:p>
    <w:p>
      <w:pPr>
        <w:spacing w:before="80" w:after="160"/>
        <w:ind w:left="227"/>
        <w:shd w:val="clear" w:color="auto" w:fill="EBF0F8"/>
      </w:pPr>
      <w:r>
        <w:rPr>
          <w:rFonts w:ascii="Consolas" w:hAnsi="Consolas"/>
          <w:color w:val="485670"/>
          <w:sz w:val="17"/>
        </w:rPr>
        <w:t>LS_{Source_Ref}_{Auth_Ref}</w:t>
        <w:br/>
        <w:br/>
        <w:t>Examples:</w:t>
        <w:br/>
        <w:t xml:space="preserve">  LS_ADLS_SAMI       ADLS Gen2 with System-Assigned Managed Identity</w:t>
        <w:br/>
        <w:t xml:space="preserve">  LS_ASQL_SAMI       Azure SQL with System-Assigned Managed Identity</w:t>
        <w:br/>
        <w:t xml:space="preserve">  LS_SFTP_BASIC      SFTP with Basic (username / password) authentication</w:t>
      </w:r>
    </w:p>
    <w:p>
      <w:pPr>
        <w:spacing w:before="240" w:after="60"/>
      </w:pPr>
      <w:r>
        <w:rPr>
          <w:rFonts w:ascii="Segoe UI" w:hAnsi="Segoe UI"/>
          <w:b/>
          <w:color w:val="1B2238"/>
          <w:sz w:val="22"/>
        </w:rPr>
        <w:t>Switch Case Reference</w:t>
      </w:r>
    </w:p>
    <w:p>
      <w:pPr>
        <w:spacing w:before="80" w:after="160"/>
        <w:ind w:left="227"/>
        <w:shd w:val="clear" w:color="auto" w:fill="EBF0F8"/>
      </w:pPr>
      <w:r>
        <w:rPr>
          <w:rFonts w:ascii="Consolas" w:hAnsi="Consolas"/>
          <w:color w:val="485670"/>
          <w:sz w:val="17"/>
        </w:rPr>
        <w:t>SW_{InputLinkedService}_{InputFormat}_{OutputLinkedService}_{OutputFormat}</w:t>
        <w:br/>
        <w:br/>
        <w:t>Computed by MasterRef to uniquely identify each source/target/format combination.</w:t>
        <w:br/>
        <w:t>Used by the ADF Switch activity to route to the correct Copy activity.</w:t>
      </w:r>
    </w:p>
    <w:p>
      <w:pPr>
        <w:spacing w:before="360" w:after="40"/>
        <w:pBdr>
          <w:bottom w:val="single" w:sz="6" w:space="1" w:color="E3EFF9"/>
        </w:pBdr>
      </w:pPr>
      <w:r>
        <w:rPr>
          <w:rFonts w:ascii="Segoe UI" w:hAnsi="Segoe UI"/>
          <w:b/>
          <w:color w:val="0B68B0"/>
          <w:sz w:val="16"/>
        </w:rPr>
        <w:t xml:space="preserve">08 — DESIGN   </w:t>
      </w:r>
      <w:r>
        <w:rPr>
          <w:rFonts w:ascii="Segoe UI" w:hAnsi="Segoe UI"/>
          <w:b/>
          <w:color w:val="1B2238"/>
          <w:sz w:val="30"/>
        </w:rPr>
        <w:t>Design Principles</w:t>
      </w:r>
    </w:p>
    <w:p>
      <w:pPr>
        <w:spacing w:before="120" w:after="40"/>
        <w:ind w:left="227"/>
      </w:pPr>
      <w:r>
        <w:rPr>
          <w:rFonts w:ascii="Segoe UI" w:hAnsi="Segoe UI"/>
          <w:b/>
          <w:color w:val="1B2238"/>
          <w:sz w:val="20"/>
        </w:rPr>
        <w:t xml:space="preserve">▌ Metadata-Driven Architecture — </w:t>
      </w:r>
      <w:r>
        <w:rPr>
          <w:rFonts w:ascii="Segoe UI" w:hAnsi="Segoe UI"/>
          <w:color w:val="485670"/>
          <w:sz w:val="20"/>
        </w:rPr>
        <w:t>Pipeline behaviour is fully parameterized. No source path, connection detail, file format, or load type is hardcoded in any ADF pipeline definition. All execution decisions are resolved at runtime from the metadata control plane.</w:t>
      </w:r>
    </w:p>
    <w:p>
      <w:pPr>
        <w:spacing w:before="120" w:after="40"/>
        <w:ind w:left="227"/>
      </w:pPr>
      <w:r>
        <w:rPr>
          <w:rFonts w:ascii="Segoe UI" w:hAnsi="Segoe UI"/>
          <w:b/>
          <w:color w:val="1B2238"/>
          <w:sz w:val="20"/>
        </w:rPr>
        <w:t xml:space="preserve">▌ Separation of Configuration from Execution — </w:t>
      </w:r>
      <w:r>
        <w:rPr>
          <w:rFonts w:ascii="Segoe UI" w:hAnsi="Segoe UI"/>
          <w:color w:val="485670"/>
          <w:sz w:val="20"/>
        </w:rPr>
        <w:t>The metadata layer owns what to do; ADF owns how to do it. Operational and configuration changes require no pipeline modification or redeployment — they are made purely in the metadata.</w:t>
      </w:r>
    </w:p>
    <w:p>
      <w:pPr>
        <w:spacing w:before="120" w:after="40"/>
        <w:ind w:left="227"/>
      </w:pPr>
      <w:r>
        <w:rPr>
          <w:rFonts w:ascii="Segoe UI" w:hAnsi="Segoe UI"/>
          <w:b/>
          <w:color w:val="1B2238"/>
          <w:sz w:val="20"/>
        </w:rPr>
        <w:t xml:space="preserve">▌ Single Source of Truth — </w:t>
      </w:r>
      <w:r>
        <w:rPr>
          <w:rFonts w:ascii="Segoe UI" w:hAnsi="Segoe UI"/>
          <w:color w:val="485670"/>
          <w:sz w:val="20"/>
        </w:rPr>
        <w:t>All ingestion configuration lives in EDP_Metadata.MetadataRef. No configuration is duplicated across pipelines, environments, or teams. The MasterRef view exposes a complete denormalized runtime view over this single source.</w:t>
      </w:r>
    </w:p>
    <w:p>
      <w:pPr>
        <w:spacing w:before="120" w:after="40"/>
        <w:ind w:left="227"/>
      </w:pPr>
      <w:r>
        <w:rPr>
          <w:rFonts w:ascii="Segoe UI" w:hAnsi="Segoe UI"/>
          <w:b/>
          <w:color w:val="1B2238"/>
          <w:sz w:val="20"/>
        </w:rPr>
        <w:t xml:space="preserve">▌ Centralised Operational Control — </w:t>
      </w:r>
      <w:r>
        <w:rPr>
          <w:rFonts w:ascii="Segoe UI" w:hAnsi="Segoe UI"/>
          <w:color w:val="485670"/>
          <w:sz w:val="20"/>
        </w:rPr>
        <w:t>The IsActive flag provides a master on/off switch for any ingestion job without touching ADF triggers or pipeline definitions. Operational state is managed in data, not in infrastructure.</w:t>
      </w:r>
    </w:p>
    <w:p>
      <w:pPr>
        <w:spacing w:before="120" w:after="40"/>
        <w:ind w:left="227"/>
      </w:pPr>
      <w:r>
        <w:rPr>
          <w:rFonts w:ascii="Segoe UI" w:hAnsi="Segoe UI"/>
          <w:b/>
          <w:color w:val="1B2238"/>
          <w:sz w:val="20"/>
        </w:rPr>
        <w:t xml:space="preserve">▌ Convention over Configuration — </w:t>
      </w:r>
      <w:r>
        <w:rPr>
          <w:rFonts w:ascii="Segoe UI" w:hAnsi="Segoe UI"/>
          <w:color w:val="485670"/>
          <w:sz w:val="20"/>
        </w:rPr>
        <w:t>Strict, computed naming conventions for pipelines, datasets, linked services, and switch cases are enforced by the metadata schema. Consistent naming reduces cognitive load and enables automated operational tooling.</w:t>
      </w:r>
    </w:p>
    <w:p>
      <w:pPr>
        <w:spacing w:before="120" w:after="40"/>
        <w:ind w:left="227"/>
      </w:pPr>
      <w:r>
        <w:rPr>
          <w:rFonts w:ascii="Segoe UI" w:hAnsi="Segoe UI"/>
          <w:b/>
          <w:color w:val="1B2238"/>
          <w:sz w:val="20"/>
        </w:rPr>
        <w:t xml:space="preserve">▌ Auditability by Design — </w:t>
      </w:r>
      <w:r>
        <w:rPr>
          <w:rFonts w:ascii="Segoe UI" w:hAnsi="Segoe UI"/>
          <w:color w:val="485670"/>
          <w:sz w:val="20"/>
        </w:rPr>
        <w:t>Every row in MetadataRef carries Created_Date, Modified_Date, and Modified_By — populated automatically by database defaults. Configuration change history is inherent to the data model, not an afterthought.</w:t>
      </w:r>
    </w:p>
    <w:p>
      <w:pPr>
        <w:spacing w:before="120" w:after="40"/>
        <w:ind w:left="227"/>
      </w:pPr>
      <w:r>
        <w:rPr>
          <w:rFonts w:ascii="Segoe UI" w:hAnsi="Segoe UI"/>
          <w:b/>
          <w:color w:val="1B2238"/>
          <w:sz w:val="20"/>
        </w:rPr>
        <w:t xml:space="preserve">▌ Extensibility — </w:t>
      </w:r>
      <w:r>
        <w:rPr>
          <w:rFonts w:ascii="Segoe UI" w:hAnsi="Segoe UI"/>
          <w:color w:val="485670"/>
          <w:sz w:val="20"/>
        </w:rPr>
        <w:t>Adding a new data source, file format, or authentication type requires only inserting reference rows into the appropriate lookup tables. The generic pipeline accommodates new source/target combinations without any pipeline modification.</w:t>
      </w:r>
    </w:p>
    <w:p>
      <w:pPr>
        <w:spacing w:before="120" w:after="40"/>
        <w:ind w:left="227"/>
      </w:pPr>
      <w:r>
        <w:rPr>
          <w:rFonts w:ascii="Segoe UI" w:hAnsi="Segoe UI"/>
          <w:b/>
          <w:color w:val="1B2238"/>
          <w:sz w:val="20"/>
        </w:rPr>
        <w:t xml:space="preserve">▌ Idempotent Infrastructure — </w:t>
      </w:r>
      <w:r>
        <w:rPr>
          <w:rFonts w:ascii="Segoe UI" w:hAnsi="Segoe UI"/>
          <w:color w:val="485670"/>
          <w:sz w:val="20"/>
        </w:rPr>
        <w:t>All DDL scripts use IF NOT EXISTS guards and include schema upgrade paths. The schema can be safely re-applied across environments — development, test, production — without destructive side effects.</w:t>
      </w:r>
    </w:p>
    <w:p>
      <w:pPr>
        <w:spacing w:before="360" w:after="40"/>
        <w:pBdr>
          <w:bottom w:val="single" w:sz="6" w:space="1" w:color="E3EFF9"/>
        </w:pBdr>
      </w:pPr>
      <w:r>
        <w:rPr>
          <w:rFonts w:ascii="Segoe UI" w:hAnsi="Segoe UI"/>
          <w:b/>
          <w:color w:val="0B68B0"/>
          <w:sz w:val="16"/>
        </w:rPr>
        <w:t xml:space="preserve">09 — GOVERNANCE   </w:t>
      </w:r>
      <w:r>
        <w:rPr>
          <w:rFonts w:ascii="Segoe UI" w:hAnsi="Segoe UI"/>
          <w:b/>
          <w:color w:val="1B2238"/>
          <w:sz w:val="30"/>
        </w:rPr>
        <w:t>Data Fabric Alignment</w:t>
      </w:r>
    </w:p>
    <w:p>
      <w:pPr>
        <w:spacing w:after="80"/>
      </w:pPr>
      <w:r>
        <w:rPr>
          <w:rFonts w:ascii="Segoe UI" w:hAnsi="Segoe UI"/>
          <w:color w:val="485670"/>
          <w:sz w:val="20"/>
        </w:rPr>
        <w:t>The framework aligns with several foundational principles of modern Data Fabric architecture, specifically those concerned with active metadata management, unified cataloguing, and governed connectivity.</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DATA FABRIC PRINCIPLE</w:t>
            </w:r>
          </w:p>
        </w:tc>
        <w:tc>
          <w:tcPr>
            <w:tcW w:type="dxa" w:w="7370"/>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HOW THE FRAMEWORK ADDRESSES IT</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Active Metadata Management</w:t>
            </w:r>
          </w:p>
        </w:tc>
        <w:tc>
          <w:tcPr>
            <w:tcW w:type="dxa" w:w="7370"/>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MetadataRef is a live operational control plane — not passive documentation. It actively governs pipeline behaviour at execution time, making metadata the direct engine of data movement.</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Unified Data Catalogue</w:t>
            </w:r>
          </w:p>
        </w:tc>
        <w:tc>
          <w:tcPr>
            <w:tcW w:type="dxa" w:w="7370"/>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All sources, target types, file formats, authentication methods, and connection configurations are centrally registered in the EDP_Metadata schema. No shadow configurations exist outside this registry.</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Business Domain Orientation</w:t>
            </w:r>
          </w:p>
        </w:tc>
        <w:tc>
          <w:tcPr>
            <w:tcW w:type="dxa" w:w="7370"/>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BusinessDomainRef classifies every ingestion job by business function. Every data movement activity is traceable to its owning domain — supporting data product thinking and domain-driven governance.</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Governed Connectivity</w:t>
            </w:r>
          </w:p>
        </w:tc>
        <w:tc>
          <w:tcPr>
            <w:tcW w:type="dxa" w:w="7370"/>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SystemAuth and LinkedServiceRef enforce a structured, centralised approach to connection management. All authentication types and connection templates are catalogued and reused — there are no unregistered connections.</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color w:val="1B2238"/>
                <w:sz w:val="18"/>
              </w:rPr>
              <w:t>Reusable Data Services</w:t>
            </w:r>
          </w:p>
        </w:tc>
        <w:tc>
          <w:tcPr>
            <w:tcW w:type="dxa" w:w="7370"/>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The generic pipeline layer acts as a reusable data service. The same pipeline infrastructure serves all projects, domains, and customers without modification; variation is expressed purely in metadata records.</w:t>
            </w:r>
          </w:p>
        </w:tc>
      </w:tr>
    </w:tbl>
    <w:p/>
    <w:p>
      <w:pPr>
        <w:spacing w:before="120" w:after="120"/>
        <w:ind w:left="227"/>
        <w:shd w:val="clear" w:color="auto" w:fill="E3EFF9"/>
        <w:pBdr>
          <w:left w:val="single" w:sz="18" w:space="4" w:color="0B68B0"/>
        </w:pBdr>
      </w:pPr>
      <w:r>
        <w:rPr>
          <w:color w:val="485670"/>
          <w:sz w:val="20"/>
        </w:rPr>
        <w:t>The framework addresses the ingestion layer of a Data Fabric architecture. It is designed to integrate with broader platform components — data catalogues, lineage tools, and data quality frameworks — that complete the fabric.</w:t>
      </w:r>
    </w:p>
    <w:p>
      <w:pPr>
        <w:spacing w:before="360" w:after="40"/>
        <w:pBdr>
          <w:bottom w:val="single" w:sz="6" w:space="1" w:color="E3EFF9"/>
        </w:pBdr>
      </w:pPr>
      <w:r>
        <w:rPr>
          <w:rFonts w:ascii="Segoe UI" w:hAnsi="Segoe UI"/>
          <w:b/>
          <w:color w:val="0B68B0"/>
          <w:sz w:val="16"/>
        </w:rPr>
        <w:t xml:space="preserve">10 — VALUE   </w:t>
      </w:r>
      <w:r>
        <w:rPr>
          <w:rFonts w:ascii="Segoe UI" w:hAnsi="Segoe UI"/>
          <w:b/>
          <w:color w:val="1B2238"/>
          <w:sz w:val="30"/>
        </w:rPr>
        <w:t>Benefits</w:t>
      </w:r>
    </w:p>
    <w:p>
      <w:pPr>
        <w:spacing w:before="240" w:after="60"/>
      </w:pPr>
      <w:r>
        <w:rPr>
          <w:rFonts w:ascii="Segoe UI" w:hAnsi="Segoe UI"/>
          <w:b/>
          <w:color w:val="1B2238"/>
          <w:sz w:val="22"/>
        </w:rPr>
        <w:t>Operational</w:t>
      </w:r>
    </w:p>
    <w:p>
      <w:pPr>
        <w:pStyle w:val="ListBullet"/>
        <w:spacing w:after="40"/>
        <w:ind w:left="340"/>
      </w:pPr>
      <w:r>
        <w:rPr>
          <w:rFonts w:ascii="Segoe UI" w:hAnsi="Segoe UI"/>
          <w:color w:val="485670"/>
          <w:sz w:val="20"/>
        </w:rPr>
        <w:t>New data source onboarded with a single metadata row — no pipeline build or deployment required</w:t>
      </w:r>
    </w:p>
    <w:p>
      <w:pPr>
        <w:pStyle w:val="ListBullet"/>
        <w:spacing w:after="40"/>
        <w:ind w:left="340"/>
      </w:pPr>
      <w:r>
        <w:rPr>
          <w:rFonts w:ascii="Segoe UI" w:hAnsi="Segoe UI"/>
          <w:color w:val="485670"/>
          <w:sz w:val="20"/>
        </w:rPr>
        <w:t>Centralised on/off control for any ingestion job without touching ADF pipelines or triggers</w:t>
      </w:r>
    </w:p>
    <w:p>
      <w:pPr>
        <w:pStyle w:val="ListBullet"/>
        <w:spacing w:after="40"/>
        <w:ind w:left="340"/>
      </w:pPr>
      <w:r>
        <w:rPr>
          <w:rFonts w:ascii="Segoe UI" w:hAnsi="Segoe UI"/>
          <w:color w:val="485670"/>
          <w:sz w:val="20"/>
        </w:rPr>
        <w:t>Connection and path changes applied in metadata — no pipeline redeployment cycle</w:t>
      </w:r>
    </w:p>
    <w:p>
      <w:pPr>
        <w:pStyle w:val="ListBullet"/>
        <w:spacing w:after="40"/>
        <w:ind w:left="340"/>
      </w:pPr>
      <w:r>
        <w:rPr>
          <w:rFonts w:ascii="Segoe UI" w:hAnsi="Segoe UI"/>
          <w:color w:val="485670"/>
          <w:sz w:val="20"/>
        </w:rPr>
        <w:t>Full visibility of all active ingestion jobs by querying a single control table</w:t>
      </w:r>
    </w:p>
    <w:p>
      <w:pPr>
        <w:pStyle w:val="ListBullet"/>
        <w:spacing w:after="40"/>
        <w:ind w:left="340"/>
      </w:pPr>
      <w:r>
        <w:rPr>
          <w:rFonts w:ascii="Segoe UI" w:hAnsi="Segoe UI"/>
          <w:color w:val="485670"/>
          <w:sz w:val="20"/>
        </w:rPr>
        <w:t>Consistent pipeline behaviour across all sources — one proven pattern, not hundreds of variations</w:t>
      </w:r>
    </w:p>
    <w:p>
      <w:pPr>
        <w:spacing w:before="240" w:after="60"/>
      </w:pPr>
      <w:r>
        <w:rPr>
          <w:rFonts w:ascii="Segoe UI" w:hAnsi="Segoe UI"/>
          <w:b/>
          <w:color w:val="1B2238"/>
          <w:sz w:val="22"/>
        </w:rPr>
        <w:t>Engineering</w:t>
      </w:r>
    </w:p>
    <w:p>
      <w:pPr>
        <w:pStyle w:val="ListBullet"/>
        <w:spacing w:after="40"/>
        <w:ind w:left="340"/>
      </w:pPr>
      <w:r>
        <w:rPr>
          <w:rFonts w:ascii="Segoe UI" w:hAnsi="Segoe UI"/>
          <w:color w:val="485670"/>
          <w:sz w:val="20"/>
        </w:rPr>
        <w:t>Dramatically reduced pipeline maintenance surface — one generic pipeline replaces one-per-source</w:t>
      </w:r>
    </w:p>
    <w:p>
      <w:pPr>
        <w:pStyle w:val="ListBullet"/>
        <w:spacing w:after="40"/>
        <w:ind w:left="340"/>
      </w:pPr>
      <w:r>
        <w:rPr>
          <w:rFonts w:ascii="Segoe UI" w:hAnsi="Segoe UI"/>
          <w:color w:val="485670"/>
          <w:sz w:val="20"/>
        </w:rPr>
        <w:t>Environment portability — the same pipelines run across dev, test, and production with different metadata records</w:t>
      </w:r>
    </w:p>
    <w:p>
      <w:pPr>
        <w:pStyle w:val="ListBullet"/>
        <w:spacing w:after="40"/>
        <w:ind w:left="340"/>
      </w:pPr>
      <w:r>
        <w:rPr>
          <w:rFonts w:ascii="Segoe UI" w:hAnsi="Segoe UI"/>
          <w:color w:val="485670"/>
          <w:sz w:val="20"/>
        </w:rPr>
        <w:t>Full Refresh and Incremental patterns supported from a single framework with no pipeline duplication</w:t>
      </w:r>
    </w:p>
    <w:p>
      <w:pPr>
        <w:pStyle w:val="ListBullet"/>
        <w:spacing w:after="40"/>
        <w:ind w:left="340"/>
      </w:pPr>
      <w:r>
        <w:rPr>
          <w:rFonts w:ascii="Segoe UI" w:hAnsi="Segoe UI"/>
          <w:color w:val="485670"/>
          <w:sz w:val="20"/>
        </w:rPr>
        <w:t>Enforced naming conventions enable automated tooling, monitoring dashboards, and documentation generation</w:t>
      </w:r>
    </w:p>
    <w:p>
      <w:pPr>
        <w:pStyle w:val="ListBullet"/>
        <w:spacing w:after="40"/>
        <w:ind w:left="340"/>
      </w:pPr>
      <w:r>
        <w:rPr>
          <w:rFonts w:ascii="Segoe UI" w:hAnsi="Segoe UI"/>
          <w:color w:val="485670"/>
          <w:sz w:val="20"/>
        </w:rPr>
        <w:t>Idempotent DDL supports safe schema deployment and controlled schema evolution across environments</w:t>
      </w:r>
    </w:p>
    <w:p>
      <w:pPr>
        <w:spacing w:before="240" w:after="60"/>
      </w:pPr>
      <w:r>
        <w:rPr>
          <w:rFonts w:ascii="Segoe UI" w:hAnsi="Segoe UI"/>
          <w:b/>
          <w:color w:val="1B2238"/>
          <w:sz w:val="22"/>
        </w:rPr>
        <w:t>Governance</w:t>
      </w:r>
    </w:p>
    <w:p>
      <w:pPr>
        <w:pStyle w:val="ListBullet"/>
        <w:spacing w:after="40"/>
        <w:ind w:left="340"/>
      </w:pPr>
      <w:r>
        <w:rPr>
          <w:rFonts w:ascii="Segoe UI" w:hAnsi="Segoe UI"/>
          <w:color w:val="485670"/>
          <w:sz w:val="20"/>
        </w:rPr>
        <w:t>Audit trail on every ingestion job — who configured what, and when</w:t>
      </w:r>
    </w:p>
    <w:p>
      <w:pPr>
        <w:pStyle w:val="ListBullet"/>
        <w:spacing w:after="40"/>
        <w:ind w:left="340"/>
      </w:pPr>
      <w:r>
        <w:rPr>
          <w:rFonts w:ascii="Segoe UI" w:hAnsi="Segoe UI"/>
          <w:color w:val="485670"/>
          <w:sz w:val="20"/>
        </w:rPr>
        <w:t>Business domain classification on every job — supports data lineage and ownership tracking</w:t>
      </w:r>
    </w:p>
    <w:p>
      <w:pPr>
        <w:pStyle w:val="ListBullet"/>
        <w:spacing w:after="40"/>
        <w:ind w:left="340"/>
      </w:pPr>
      <w:r>
        <w:rPr>
          <w:rFonts w:ascii="Segoe UI" w:hAnsi="Segoe UI"/>
          <w:color w:val="485670"/>
          <w:sz w:val="20"/>
        </w:rPr>
        <w:t>Centralised, catalogued connection management — no unregistered or shadow connections</w:t>
      </w:r>
    </w:p>
    <w:p>
      <w:pPr>
        <w:pStyle w:val="ListBullet"/>
        <w:spacing w:after="40"/>
        <w:ind w:left="340"/>
      </w:pPr>
      <w:r>
        <w:rPr>
          <w:rFonts w:ascii="Segoe UI" w:hAnsi="Segoe UI"/>
          <w:color w:val="485670"/>
          <w:sz w:val="20"/>
        </w:rPr>
        <w:t>Watermark state managed centrally — incremental load boundaries are visible and auditable</w:t>
      </w:r>
    </w:p>
    <w:p>
      <w:pPr>
        <w:spacing w:before="360" w:after="40"/>
        <w:pBdr>
          <w:bottom w:val="single" w:sz="6" w:space="1" w:color="E3EFF9"/>
        </w:pBdr>
      </w:pPr>
      <w:r>
        <w:rPr>
          <w:rFonts w:ascii="Segoe UI" w:hAnsi="Segoe UI"/>
          <w:b/>
          <w:color w:val="0B68B0"/>
          <w:sz w:val="16"/>
        </w:rPr>
        <w:t xml:space="preserve">APPENDIX   </w:t>
      </w:r>
      <w:r>
        <w:rPr>
          <w:rFonts w:ascii="Segoe UI" w:hAnsi="Segoe UI"/>
          <w:b/>
          <w:color w:val="1B2238"/>
          <w:sz w:val="30"/>
        </w:rPr>
        <w:t>Schema Quick Reference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118"/>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OBJECT</w:t>
            </w:r>
          </w:p>
        </w:tc>
        <w:tc>
          <w:tcPr>
            <w:tcW w:type="dxa" w:w="1134"/>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TYPE</w:t>
            </w:r>
          </w:p>
        </w:tc>
        <w:tc>
          <w:tcPr>
            <w:tcW w:type="dxa" w:w="4252"/>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PURPOSE</w:t>
            </w:r>
          </w:p>
        </w:tc>
        <w:tc>
          <w:tcPr>
            <w:tcW w:type="dxa" w:w="1984"/>
            <w:shd w:val="clear" w:color="auto" w:fill="1B2238"/>
            <w:tcBorders>
              <w:top w:val="single" w:sz="4" w:space="0" w:color="1B2238"/>
              <w:left w:val="single" w:sz="4" w:space="0" w:color="1B2238"/>
              <w:bottom w:val="single" w:sz="4" w:space="0" w:color="1B2238"/>
              <w:right w:val="single" w:sz="4" w:space="0" w:color="1B2238"/>
              <w:insideH w:val="single" w:sz="4" w:space="0" w:color="1B2238"/>
              <w:insideV w:val="single" w:sz="4" w:space="0" w:color="1B2238"/>
            </w:tcBorders>
          </w:tcPr>
          <w:p>
            <w:pPr>
              <w:spacing w:before="60" w:after="60"/>
            </w:pPr>
            <w:r>
              <w:rPr>
                <w:rFonts w:ascii="Segoe UI" w:hAnsi="Segoe UI"/>
                <w:b/>
                <w:color w:val="FFFFFF"/>
                <w:sz w:val="16"/>
              </w:rPr>
              <w:t>ADF ROLE</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EDP_Metadata.MetadataRef</w:t>
            </w:r>
          </w:p>
        </w:tc>
        <w:tc>
          <w:tcPr>
            <w:tcW w:type="dxa" w:w="113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Core control table — one row per ingestion job</w:t>
            </w:r>
          </w:p>
        </w:tc>
        <w:tc>
          <w:tcPr>
            <w:tcW w:type="dxa" w:w="198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Primary config store; queried via MasterRef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EDP_Metadata.MasterRef</w:t>
            </w:r>
          </w:p>
        </w:tc>
        <w:tc>
          <w:tcPr>
            <w:tcW w:type="dxa" w:w="113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View</w:t>
            </w:r>
          </w:p>
        </w:tc>
        <w:tc>
          <w:tcPr>
            <w:tcW w:type="dxa" w:w="425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Denormalized runtime view; derives Pipeline_Name and SwitchCaseRef</w:t>
            </w:r>
          </w:p>
        </w:tc>
        <w:tc>
          <w:tcPr>
            <w:tcW w:type="dxa" w:w="198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Target of the Lookup activity</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EDP_Metadata.Watermark</w:t>
            </w:r>
          </w:p>
        </w:tc>
        <w:tc>
          <w:tcPr>
            <w:tcW w:type="dxa" w:w="113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High-water mark per incremental job; updated after each successful run</w:t>
            </w:r>
          </w:p>
        </w:tc>
        <w:tc>
          <w:tcPr>
            <w:tcW w:type="dxa" w:w="198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Read and written by incremental pipeline</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EDP_Metadata.DatasetRef</w:t>
            </w:r>
          </w:p>
        </w:tc>
        <w:tc>
          <w:tcPr>
            <w:tcW w:type="dxa" w:w="113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Unique Source + FileFormat combinations</w:t>
            </w:r>
          </w:p>
        </w:tc>
        <w:tc>
          <w:tcPr>
            <w:tcW w:type="dxa" w:w="198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EDP_Metadata.LinkedServiceRef</w:t>
            </w:r>
          </w:p>
        </w:tc>
        <w:tc>
          <w:tcPr>
            <w:tcW w:type="dxa" w:w="113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ADF linked service catalog with JSON connection templates</w:t>
            </w:r>
          </w:p>
        </w:tc>
        <w:tc>
          <w:tcPr>
            <w:tcW w:type="dxa" w:w="198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EDP_Metadata.SourceRef</w:t>
            </w:r>
          </w:p>
        </w:tc>
        <w:tc>
          <w:tcPr>
            <w:tcW w:type="dxa" w:w="113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Supported data source types and short codes</w:t>
            </w:r>
          </w:p>
        </w:tc>
        <w:tc>
          <w:tcPr>
            <w:tcW w:type="dxa" w:w="198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EDP_Metadata.FileFormat</w:t>
            </w:r>
          </w:p>
        </w:tc>
        <w:tc>
          <w:tcPr>
            <w:tcW w:type="dxa" w:w="113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Supported file formats</w:t>
            </w:r>
          </w:p>
        </w:tc>
        <w:tc>
          <w:tcPr>
            <w:tcW w:type="dxa" w:w="198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EDP_Metadata.SystemAuth</w:t>
            </w:r>
          </w:p>
        </w:tc>
        <w:tc>
          <w:tcPr>
            <w:tcW w:type="dxa" w:w="113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Supported authentication types and applicable connectors</w:t>
            </w:r>
          </w:p>
        </w:tc>
        <w:tc>
          <w:tcPr>
            <w:tcW w:type="dxa" w:w="198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EDP_Metadata.BusinessDomainRef</w:t>
            </w:r>
          </w:p>
        </w:tc>
        <w:tc>
          <w:tcPr>
            <w:tcW w:type="dxa" w:w="113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Business domain classification</w:t>
            </w:r>
          </w:p>
        </w:tc>
        <w:tc>
          <w:tcPr>
            <w:tcW w:type="dxa" w:w="1984"/>
            <w:shd w:val="clear" w:color="auto" w:fill="EBF0F8"/>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r>
        <w:tc>
          <w:tcPr>
            <w:tcW w:type="dxa" w:w="3118"/>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Consolas" w:hAnsi="Consolas"/>
                <w:color w:val="0B68B0"/>
                <w:sz w:val="17"/>
              </w:rPr>
              <w:t>EDP_Metadata.colDelimitterRef</w:t>
            </w:r>
          </w:p>
        </w:tc>
        <w:tc>
          <w:tcPr>
            <w:tcW w:type="dxa" w:w="113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Table</w:t>
            </w:r>
          </w:p>
        </w:tc>
        <w:tc>
          <w:tcPr>
            <w:tcW w:type="dxa" w:w="4252"/>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Column delimiter reference values</w:t>
            </w:r>
          </w:p>
        </w:tc>
        <w:tc>
          <w:tcPr>
            <w:tcW w:type="dxa" w:w="1984"/>
            <w:shd w:val="clear" w:color="auto" w:fill="FFFFFF"/>
            <w:tcBorders>
              <w:top w:val="single" w:sz="4" w:space="0" w:color="C8D4E6"/>
              <w:left w:val="single" w:sz="4" w:space="0" w:color="C8D4E6"/>
              <w:bottom w:val="single" w:sz="4" w:space="0" w:color="C8D4E6"/>
              <w:right w:val="single" w:sz="4" w:space="0" w:color="C8D4E6"/>
              <w:insideH w:val="single" w:sz="4" w:space="0" w:color="C8D4E6"/>
              <w:insideV w:val="single" w:sz="4" w:space="0" w:color="C8D4E6"/>
            </w:tcBorders>
          </w:tcPr>
          <w:p>
            <w:pPr>
              <w:spacing w:before="40" w:after="40"/>
            </w:pPr>
            <w:r>
              <w:rPr>
                <w:rFonts w:ascii="Segoe UI" w:hAnsi="Segoe UI"/>
                <w:b w:val="0"/>
                <w:color w:val="485670"/>
                <w:sz w:val="18"/>
              </w:rPr>
              <w:t>Resolved via MasterRef</w:t>
            </w:r>
          </w:p>
        </w:tc>
      </w:tr>
    </w:tbl>
    <w:p/>
    <w:p>
      <w:pPr>
        <w:spacing w:before="400"/>
        <w:pBdr>
          <w:top w:val="single" w:sz="4" w:space="1" w:color="C8D4E6"/>
        </w:pBdr>
      </w:pPr>
      <w:r>
        <w:rPr>
          <w:rFonts w:ascii="Segoe UI" w:hAnsi="Segoe UI"/>
          <w:color w:val="6A788F"/>
          <w:sz w:val="16"/>
        </w:rPr>
        <w:t>Enterprise Data Platform — Metadata-Driven Ingestion Framework   ·   Version 1.0   ·   August 2026   ·   Internal Use Only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