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tbl>
      <w:tblPr>
        <w:tblW w:type="pct" w:w="100%"/>
        <w:tblBorders>
          <w:top w:val="single" w:color="14314B" w:sz="24"/>
          <w:left w:val="none"/>
          <w:bottom w:val="single" w:color="14314B" w:sz="24"/>
          <w:right w:val="none"/>
          <w:insideH w:val="none"/>
          <w:insideV w:val="none"/>
        </w:tblBorders>
      </w:tblPr>
      <w:tblGrid>
        <w:gridCol w:w="100"/>
      </w:tblGrid>
      <w:tr>
        <w:tc>
          <w:tcPr>
            <w:shd w:fill="14314B" w:color="auto" w:val="clear"/>
            <w:tcMar>
              <w:top w:type="dxa" w:w="500"/>
              <w:left w:type="dxa" w:w="400"/>
              <w:bottom w:type="dxa" w:w="500"/>
              <w:right w:type="dxa" w:w="400"/>
            </w:tcMar>
          </w:tcPr>
          <w:p>
            <w:pPr>
              <w:spacing w:after="120"/>
              <w:jc w:val="center"/>
            </w:pPr>
            <w:r>
              <w:rPr>
                <w:rFonts w:ascii="Calibri" w:cs="Calibri" w:eastAsia="Calibri" w:hAnsi="Calibri"/>
                <w:b/>
                <w:bCs/>
                <w:color w:val="9FC2FF"/>
                <w:sz w:val="20"/>
                <w:szCs w:val="20"/>
              </w:rPr>
              <w:t xml:space="preserve">VFCPL MARINE ENERGY PLATFORM — VFCPL-MEP-001</w:t>
            </w:r>
          </w:p>
          <w:p>
            <w:pPr>
              <w:spacing w:after="260"/>
              <w:jc w:val="center"/>
            </w:pPr>
            <w:r>
              <w:rPr>
                <w:rFonts w:ascii="Calibri" w:cs="Calibri" w:eastAsia="Calibri" w:hAnsi="Calibri"/>
                <w:b/>
                <w:bCs/>
                <w:color w:val="FFFFFF"/>
                <w:sz w:val="40"/>
                <w:szCs w:val="40"/>
              </w:rPr>
              <w:t xml:space="preserve">IMMERSION-COOLED BATTERY ENERGY STORAGE SYSTEM (BESS)</w:t>
            </w:r>
          </w:p>
          <w:p>
            <w:pPr>
              <w:spacing w:after="60"/>
              <w:jc w:val="center"/>
            </w:pPr>
            <w:r>
              <w:rPr>
                <w:rFonts w:ascii="Calibri" w:cs="Calibri" w:eastAsia="Calibri" w:hAnsi="Calibri"/>
                <w:b/>
                <w:bCs/>
                <w:color w:val="FFFFFF"/>
                <w:sz w:val="26"/>
                <w:szCs w:val="26"/>
              </w:rPr>
              <w:t xml:space="preserve">Cooling System Design, Control Logic &amp; Performance Validation</w:t>
            </w:r>
          </w:p>
          <w:p>
            <w:pPr>
              <w:spacing w:after="400"/>
              <w:jc w:val="center"/>
            </w:pPr>
            <w:r>
              <w:rPr>
                <w:rFonts w:ascii="Calibri" w:cs="Calibri" w:eastAsia="Calibri" w:hAnsi="Calibri"/>
                <w:i/>
                <w:iCs/>
                <w:color w:val="D7E4F5"/>
                <w:sz w:val="22"/>
                <w:szCs w:val="22"/>
              </w:rPr>
              <w:t xml:space="preserve">Technical Submission in Support of IRS Type Approval</w:t>
            </w:r>
          </w:p>
        </w:tc>
      </w:tr>
    </w:tbl>
    <w:p>
      <w:pPr>
        <w:spacing w:before="500"/>
      </w:pPr>
    </w:p>
    <w:p>
      <w:pPr>
        <w:spacing w:after="60" w:before="160"/>
        <w:jc w:val="center"/>
      </w:pPr>
      <w:r>
        <w:drawing>
          <wp:inline distT="0" distB="0" distL="0" distR="0">
            <wp:extent cx="4953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52775"/>
                    </a:xfrm>
                    <a:prstGeom prst="rect">
                      <a:avLst/>
                    </a:prstGeom>
                  </pic:spPr>
                </pic:pic>
              </a:graphicData>
            </a:graphic>
          </wp:inline>
        </w:drawing>
      </w:r>
    </w:p>
    <w:p>
      <w:pPr>
        <w:spacing w:before="5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EAF1FB"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Applicant / System Integrator</w:t>
            </w:r>
          </w:p>
        </w:tc>
        <w:tc>
          <w:tcPr>
            <w:tcW w:type="dxa" w:w="6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VFCPL (Vayusakti Future Construct Pvt. Ltd.)</w:t>
            </w:r>
          </w:p>
        </w:tc>
      </w:tr>
      <w:tr>
        <w:tc>
          <w:tcPr>
            <w:tcW w:type="dxa" w:w="3200"/>
            <w:shd w:fill="EAF1FB"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Platform Reference</w:t>
            </w:r>
          </w:p>
        </w:tc>
        <w:tc>
          <w:tcPr>
            <w:tcW w:type="dxa" w:w="6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VFCPL-MEP-001</w:t>
            </w:r>
          </w:p>
        </w:tc>
      </w:tr>
      <w:tr>
        <w:tc>
          <w:tcPr>
            <w:tcW w:type="dxa" w:w="3200"/>
            <w:shd w:fill="EAF1FB"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Approval Authority</w:t>
            </w:r>
          </w:p>
        </w:tc>
        <w:tc>
          <w:tcPr>
            <w:tcW w:type="dxa" w:w="6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Indian Register of Shipping (IRS)</w:t>
            </w:r>
          </w:p>
        </w:tc>
      </w:tr>
      <w:tr>
        <w:tc>
          <w:tcPr>
            <w:tcW w:type="dxa" w:w="3200"/>
            <w:shd w:fill="EAF1FB"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Governing Documents</w:t>
            </w:r>
          </w:p>
        </w:tc>
        <w:tc>
          <w:tcPr>
            <w:tcW w:type="dxa" w:w="6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IRS Classification Note on Approval of Lithium-ion Battery Systems (CN Rev.1); IRS Guidelines on Battery Powered Vessels (GL Rev.2)</w:t>
            </w:r>
          </w:p>
        </w:tc>
      </w:tr>
      <w:tr>
        <w:tc>
          <w:tcPr>
            <w:tcW w:type="dxa" w:w="3200"/>
            <w:shd w:fill="EAF1FB"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Document Type</w:t>
            </w:r>
          </w:p>
        </w:tc>
        <w:tc>
          <w:tcPr>
            <w:tcW w:type="dxa" w:w="6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Cooling System Technical Submission (Design, Control Logic &amp; Test Data)</w:t>
            </w:r>
          </w:p>
        </w:tc>
      </w:tr>
      <w:tr>
        <w:tc>
          <w:tcPr>
            <w:tcW w:type="dxa" w:w="3200"/>
            <w:shd w:fill="EAF1FB"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Revision</w:t>
            </w:r>
          </w:p>
        </w:tc>
        <w:tc>
          <w:tcPr>
            <w:tcW w:type="dxa" w:w="6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 — Issued for Review</w:t>
            </w:r>
          </w:p>
        </w:tc>
      </w:tr>
      <w:tr>
        <w:tc>
          <w:tcPr>
            <w:tcW w:type="dxa" w:w="3200"/>
            <w:shd w:fill="EAF1FB"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Date</w:t>
            </w:r>
          </w:p>
        </w:tc>
        <w:tc>
          <w:tcPr>
            <w:tcW w:type="dxa" w:w="6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12 September 2026</w:t>
            </w:r>
          </w:p>
        </w:tc>
      </w:tr>
      <w:tr>
        <w:tc>
          <w:tcPr>
            <w:tcW w:type="dxa" w:w="3200"/>
            <w:shd w:fill="EAF1FB"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Classification</w:t>
            </w:r>
          </w:p>
        </w:tc>
        <w:tc>
          <w:tcPr>
            <w:tcW w:type="dxa" w:w="6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Company Confidential — For IRS Submission Use</w:t>
            </w:r>
          </w:p>
        </w:tc>
      </w:tr>
    </w:tbl>
    <w:p>
      <w:r>
        <w:br w:type="page"/>
      </w:r>
    </w:p>
    <w:p>
      <w:pPr>
        <w:pStyle w:val="Heading1"/>
        <w:spacing w:after="200"/>
      </w:pPr>
      <w:r>
        <w:rPr>
          <w:rFonts w:ascii="Calibri" w:cs="Calibri" w:eastAsia="Calibri" w:hAnsi="Calibri"/>
          <w:b/>
          <w:bCs/>
          <w:color w:val="14314B"/>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pct" w:w="100%"/>
        <w:tblBorders>
          <w:top w:val="none"/>
          <w:left w:val="none"/>
          <w:bottom w:val="none"/>
          <w:right w:val="none"/>
          <w:insideH w:val="none"/>
          <w:insideV w:val="none"/>
        </w:tblBorders>
      </w:tblPr>
      <w:tblGrid>
        <w:gridCol w:w="100"/>
      </w:tblGrid>
      <w:tr>
        <w:tc>
          <w:tcPr>
            <w:shd w:fill="14314B"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1.  Purpose &amp; Scope</w:t>
            </w:r>
          </w:p>
        </w:tc>
      </w:tr>
    </w:tbl>
    <w:p>
      <w:pPr>
        <w:spacing w:after="160" w:line="276"/>
      </w:pPr>
      <w:r>
        <w:rPr>
          <w:rFonts w:ascii="Calibri" w:cs="Calibri" w:eastAsia="Calibri" w:hAnsi="Calibri"/>
          <w:sz w:val="21"/>
          <w:szCs w:val="21"/>
        </w:rPr>
        <w:t xml:space="preserve">This document presents the cooling system design, Battery Management System (BMS) pump control logic, dielectric coolant fluid technical properties, and performance validation data for the immersion-cooled Battery Energy Storage System (BESS) proposed for installation aboard the VFCPL-MEP-001 marine platform.</w:t>
      </w:r>
    </w:p>
    <w:p>
      <w:pPr>
        <w:spacing w:after="160" w:line="276"/>
      </w:pPr>
      <w:r>
        <w:rPr>
          <w:rFonts w:ascii="Calibri" w:cs="Calibri" w:eastAsia="Calibri" w:hAnsi="Calibri"/>
          <w:sz w:val="21"/>
          <w:szCs w:val="21"/>
        </w:rPr>
        <w:t xml:space="preserve">It is submitted by VFCPL, as system integrator and sole applicant, in support of type approval and vessel installation approval by the Indian Register of Shipping (IRS), under the IRS Classification Note on Approval of Lithium-ion Battery Systems (CN Rev.1, March 2026) and the IRS Guidelines on Battery Powered Vessels (GL Rev.2, March 2026).</w:t>
      </w:r>
    </w:p>
    <w:p>
      <w:pPr>
        <w:spacing w:after="160" w:line="276"/>
      </w:pPr>
      <w:r>
        <w:rPr>
          <w:rFonts w:ascii="Calibri" w:cs="Calibri" w:eastAsia="Calibri" w:hAnsi="Calibri"/>
          <w:sz w:val="21"/>
          <w:szCs w:val="21"/>
        </w:rPr>
        <w:t xml:space="preserve">The scope of this submission covers:</w:t>
      </w:r>
    </w:p>
    <w:p>
      <w:pPr>
        <w:pStyle w:val="ListParagraph"/>
        <w:numPr>
          <w:ilvl w:val="0"/>
          <w:numId w:val="2"/>
        </w:numPr>
        <w:spacing w:after="80"/>
      </w:pPr>
      <w:r>
        <w:rPr>
          <w:rFonts w:ascii="Calibri" w:cs="Calibri" w:eastAsia="Calibri" w:hAnsi="Calibri"/>
          <w:sz w:val="21"/>
          <w:szCs w:val="21"/>
        </w:rPr>
        <w:t xml:space="preserve">Cooling system architecture and Single Line Diagram (SLD) — hydraulic and control signal paths.</w:t>
      </w:r>
    </w:p>
    <w:p>
      <w:pPr>
        <w:pStyle w:val="ListParagraph"/>
        <w:numPr>
          <w:ilvl w:val="0"/>
          <w:numId w:val="2"/>
        </w:numPr>
        <w:spacing w:after="80"/>
      </w:pPr>
      <w:r>
        <w:rPr>
          <w:rFonts w:ascii="Calibri" w:cs="Calibri" w:eastAsia="Calibri" w:hAnsi="Calibri"/>
          <w:sz w:val="21"/>
          <w:szCs w:val="21"/>
        </w:rPr>
        <w:t xml:space="preserve">BMS-executed pump activation logic, including the governing Boolean conditions and full truth table.</w:t>
      </w:r>
    </w:p>
    <w:p>
      <w:pPr>
        <w:pStyle w:val="ListParagraph"/>
        <w:numPr>
          <w:ilvl w:val="0"/>
          <w:numId w:val="2"/>
        </w:numPr>
        <w:spacing w:after="80"/>
      </w:pPr>
      <w:r>
        <w:rPr>
          <w:rFonts w:ascii="Calibri" w:cs="Calibri" w:eastAsia="Calibri" w:hAnsi="Calibri"/>
          <w:sz w:val="21"/>
          <w:szCs w:val="21"/>
        </w:rPr>
        <w:t xml:space="preserve">Technical characterisation of the dielectric immersion coolant fluid, including fire-safety, dielectric, and environmental properties.</w:t>
      </w:r>
    </w:p>
    <w:p>
      <w:pPr>
        <w:pStyle w:val="ListParagraph"/>
        <w:numPr>
          <w:ilvl w:val="0"/>
          <w:numId w:val="2"/>
        </w:numPr>
        <w:spacing w:after="80"/>
      </w:pPr>
      <w:r>
        <w:rPr>
          <w:rFonts w:ascii="Calibri" w:cs="Calibri" w:eastAsia="Calibri" w:hAnsi="Calibri"/>
          <w:sz w:val="21"/>
          <w:szCs w:val="21"/>
        </w:rPr>
        <w:t xml:space="preserve">Bench thermal-cycle validation data (rest / discharge / rest / charge / rest) demonstrating in-service ΔT behaviour against the BMS control thresholds.</w:t>
      </w:r>
    </w:p>
    <w:p>
      <w:pPr>
        <w:pStyle w:val="ListParagraph"/>
        <w:numPr>
          <w:ilvl w:val="0"/>
          <w:numId w:val="2"/>
        </w:numPr>
        <w:spacing w:after="80"/>
      </w:pPr>
      <w:r>
        <w:rPr>
          <w:rFonts w:ascii="Calibri" w:cs="Calibri" w:eastAsia="Calibri" w:hAnsi="Calibri"/>
          <w:sz w:val="21"/>
          <w:szCs w:val="21"/>
        </w:rPr>
        <w:t xml:space="preserve">Cycle-life capacity retention (State-of-Health) data across 818 charge/discharge cycles.</w:t>
      </w:r>
    </w:p>
    <w:p>
      <w:pPr>
        <w:pStyle w:val="ListParagraph"/>
        <w:numPr>
          <w:ilvl w:val="0"/>
          <w:numId w:val="2"/>
        </w:numPr>
        <w:spacing w:after="80"/>
      </w:pPr>
      <w:r>
        <w:rPr>
          <w:rFonts w:ascii="Calibri" w:cs="Calibri" w:eastAsia="Calibri" w:hAnsi="Calibri"/>
          <w:sz w:val="21"/>
          <w:szCs w:val="21"/>
        </w:rPr>
        <w:t xml:space="preserve">An analysis of why the full-immersion architecture achieves optimum thermal uniformity and supports the cell's designed cycle life.</w:t>
      </w:r>
    </w:p>
    <w:p>
      <w:pPr>
        <w:pStyle w:val="ListParagraph"/>
        <w:numPr>
          <w:ilvl w:val="0"/>
          <w:numId w:val="2"/>
        </w:numPr>
        <w:spacing w:after="80"/>
      </w:pPr>
      <w:r>
        <w:rPr>
          <w:rFonts w:ascii="Calibri" w:cs="Calibri" w:eastAsia="Calibri" w:hAnsi="Calibri"/>
          <w:sz w:val="21"/>
          <w:szCs w:val="21"/>
        </w:rPr>
        <w:t xml:space="preserve">A compliance cross-reference against the applicable standards framework.</w:t>
      </w:r>
    </w:p>
    <w:p>
      <w:pPr>
        <w:spacing w:after="160" w:line="276"/>
      </w:pPr>
      <w:r>
        <w:rPr>
          <w:rFonts w:ascii="Calibri" w:cs="Calibri" w:eastAsia="Calibri" w:hAnsi="Calibri"/>
          <w:sz w:val="21"/>
          <w:szCs w:val="21"/>
        </w:rPr>
        <w:t xml:space="preserve">This submission is intended to be read together with the compliance tracker workbook and requirement matrix already exchanged with IRS as part of the overall CPSS/BESS type-approval dossier for VFCPL-MEP-001.</w:t>
      </w:r>
    </w:p>
    <w:tbl>
      <w:tblPr>
        <w:tblW w:type="pct" w:w="100%"/>
        <w:tblBorders>
          <w:top w:val="none"/>
          <w:left w:val="none"/>
          <w:bottom w:val="none"/>
          <w:right w:val="none"/>
          <w:insideH w:val="none"/>
          <w:insideV w:val="none"/>
        </w:tblBorders>
      </w:tblPr>
      <w:tblGrid>
        <w:gridCol w:w="100"/>
      </w:tblGrid>
      <w:tr>
        <w:tc>
          <w:tcPr>
            <w:shd w:fill="1F6FEB"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2.  Cooling System Description</w:t>
            </w:r>
          </w:p>
        </w:tc>
      </w:tr>
    </w:tbl>
    <w:p>
      <w:pPr>
        <w:pStyle w:val="Heading2"/>
        <w:pBdr>
          <w:bottom w:val="single" w:color="1F6FEB" w:sz="10" w:space="2"/>
        </w:pBdr>
        <w:spacing w:after="120" w:before="260"/>
      </w:pPr>
      <w:r>
        <w:rPr>
          <w:rFonts w:ascii="Calibri" w:cs="Calibri" w:eastAsia="Calibri" w:hAnsi="Calibri"/>
          <w:b/>
          <w:bCs/>
          <w:color w:val="1F6FEB"/>
          <w:sz w:val="24"/>
          <w:szCs w:val="24"/>
        </w:rPr>
        <w:t xml:space="preserve">2.1  Architecture Overview</w:t>
      </w:r>
    </w:p>
    <w:p>
      <w:pPr>
        <w:spacing w:after="160" w:line="276"/>
      </w:pPr>
      <w:r>
        <w:rPr>
          <w:rFonts w:ascii="Calibri" w:cs="Calibri" w:eastAsia="Calibri" w:hAnsi="Calibri"/>
          <w:sz w:val="21"/>
          <w:szCs w:val="21"/>
        </w:rPr>
        <w:t xml:space="preserve">The BESS battery pack is cooled by a closed-loop, self-circulating dielectric coolant system. The dielectric fluid is the sole coolant medium within the pack: there is no separate coolant reservoir and no external heat exchanger in the circuit. A single self-circulating pump (P1) continuously recirculates the coolant through the pack's immersion channel and directly back to the pump, redistributing heat within the pack to equalise cell temperatures rather than rejecting heat to an external loop.</w:t>
      </w:r>
    </w:p>
    <w:p>
      <w:pPr>
        <w:spacing w:after="160" w:line="276"/>
      </w:pPr>
      <w:r>
        <w:rPr>
          <w:rFonts w:ascii="Calibri" w:cs="Calibri" w:eastAsia="Calibri" w:hAnsi="Calibri"/>
          <w:sz w:val="21"/>
          <w:szCs w:val="21"/>
        </w:rPr>
        <w:t xml:space="preserve">Because the coolant is also the dielectric medium in which the cells are immersed, the fluid performs two simultaneous functions: (i) electrical insulation between live cell surfaces and the earthed casing, and (ii) thermal transport from the cell surface to the casing wall. This is the defining characteristic of the full-immersion cooling architecture, as distinct from cold-plate or air-cooled designs.</w:t>
      </w:r>
    </w:p>
    <w:p>
      <w:pPr>
        <w:pStyle w:val="Heading2"/>
        <w:pBdr>
          <w:bottom w:val="single" w:color="1F6FEB" w:sz="10" w:space="2"/>
        </w:pBdr>
        <w:spacing w:after="120" w:before="260"/>
      </w:pPr>
      <w:r>
        <w:rPr>
          <w:rFonts w:ascii="Calibri" w:cs="Calibri" w:eastAsia="Calibri" w:hAnsi="Calibri"/>
          <w:b/>
          <w:bCs/>
          <w:color w:val="1F6FEB"/>
          <w:sz w:val="24"/>
          <w:szCs w:val="24"/>
        </w:rPr>
        <w:t xml:space="preserve">2.2  Monitoring &amp; Control Inputs</w:t>
      </w:r>
    </w:p>
    <w:p>
      <w:pPr>
        <w:spacing w:after="160" w:line="276"/>
      </w:pPr>
      <w:r>
        <w:rPr>
          <w:rFonts w:ascii="Calibri" w:cs="Calibri" w:eastAsia="Calibri" w:hAnsi="Calibri"/>
          <w:sz w:val="21"/>
          <w:szCs w:val="21"/>
        </w:rPr>
        <w:t xml:space="preserve">The BMS continuously monitors:</w:t>
      </w:r>
    </w:p>
    <w:p>
      <w:pPr>
        <w:pStyle w:val="ListParagraph"/>
        <w:numPr>
          <w:ilvl w:val="0"/>
          <w:numId w:val="2"/>
        </w:numPr>
        <w:spacing w:after="80"/>
      </w:pPr>
      <w:r>
        <w:rPr>
          <w:rFonts w:ascii="Calibri" w:cs="Calibri" w:eastAsia="Calibri" w:hAnsi="Calibri"/>
          <w:sz w:val="21"/>
          <w:szCs w:val="21"/>
        </w:rPr>
        <w:t xml:space="preserve">State of Charge (SOC)</w:t>
      </w:r>
    </w:p>
    <w:p>
      <w:pPr>
        <w:pStyle w:val="ListParagraph"/>
        <w:numPr>
          <w:ilvl w:val="0"/>
          <w:numId w:val="2"/>
        </w:numPr>
        <w:spacing w:after="80"/>
      </w:pPr>
      <w:r>
        <w:rPr>
          <w:rFonts w:ascii="Calibri" w:cs="Calibri" w:eastAsia="Calibri" w:hAnsi="Calibri"/>
          <w:sz w:val="21"/>
          <w:szCs w:val="21"/>
        </w:rPr>
        <w:t xml:space="preserve">Ignition status</w:t>
      </w:r>
    </w:p>
    <w:p>
      <w:pPr>
        <w:pStyle w:val="ListParagraph"/>
        <w:numPr>
          <w:ilvl w:val="0"/>
          <w:numId w:val="2"/>
        </w:numPr>
        <w:spacing w:after="80"/>
      </w:pPr>
      <w:r>
        <w:rPr>
          <w:rFonts w:ascii="Calibri" w:cs="Calibri" w:eastAsia="Calibri" w:hAnsi="Calibri"/>
          <w:sz w:val="21"/>
          <w:szCs w:val="21"/>
        </w:rPr>
        <w:t xml:space="preserve">Fast-charge status, received via CAN bus from the DC charger / on-board charger</w:t>
      </w:r>
    </w:p>
    <w:p>
      <w:pPr>
        <w:pStyle w:val="ListParagraph"/>
        <w:numPr>
          <w:ilvl w:val="0"/>
          <w:numId w:val="2"/>
        </w:numPr>
        <w:spacing w:after="80"/>
      </w:pPr>
      <w:r>
        <w:rPr>
          <w:rFonts w:ascii="Calibri" w:cs="Calibri" w:eastAsia="Calibri" w:hAnsi="Calibri"/>
          <w:sz w:val="21"/>
          <w:szCs w:val="21"/>
        </w:rPr>
        <w:t xml:space="preserve">Pack temperature via six thermistors (T1–T6), from which ΔT = Tmax − Tmin is derived in real time</w:t>
      </w:r>
    </w:p>
    <w:p>
      <w:pPr>
        <w:spacing w:after="160" w:line="276"/>
      </w:pPr>
      <w:r>
        <w:rPr>
          <w:rFonts w:ascii="Calibri" w:cs="Calibri" w:eastAsia="Calibri" w:hAnsi="Calibri"/>
          <w:sz w:val="21"/>
          <w:szCs w:val="21"/>
        </w:rPr>
        <w:t xml:space="preserve">Based on these inputs, the BMS issues a discrete/PWM pump-enable signal to the pump driver, which energises Pump P1. The complete signal and hydraulic architecture is shown in the Single Line Diagram (Figure 1).</w:t>
      </w:r>
    </w:p>
    <w:p>
      <w:pPr>
        <w:pStyle w:val="Heading2"/>
        <w:pBdr>
          <w:bottom w:val="single" w:color="1F6FEB" w:sz="10" w:space="2"/>
        </w:pBdr>
        <w:spacing w:after="120" w:before="260"/>
      </w:pPr>
      <w:r>
        <w:rPr>
          <w:rFonts w:ascii="Calibri" w:cs="Calibri" w:eastAsia="Calibri" w:hAnsi="Calibri"/>
          <w:b/>
          <w:bCs/>
          <w:color w:val="1F6FEB"/>
          <w:sz w:val="24"/>
          <w:szCs w:val="24"/>
        </w:rPr>
        <w:t xml:space="preserve">2.3  Heat Rejection Path</w:t>
      </w:r>
    </w:p>
    <w:p>
      <w:pPr>
        <w:spacing w:after="160" w:line="276"/>
      </w:pPr>
      <w:r>
        <w:rPr>
          <w:rFonts w:ascii="Calibri" w:cs="Calibri" w:eastAsia="Calibri" w:hAnsi="Calibri"/>
          <w:sz w:val="21"/>
          <w:szCs w:val="21"/>
        </w:rPr>
        <w:t xml:space="preserve">With no external heat exchanger in the circuit, the pack rejects heat entirely through its own casing, along the following path:</w:t>
      </w:r>
    </w:p>
    <w:p>
      <w:pPr>
        <w:pBdr>
          <w:top w:val="single" w:color="D9822B" w:sz="8"/>
          <w:bottom w:val="single" w:color="D9822B" w:sz="8"/>
        </w:pBdr>
        <w:spacing w:after="200" w:before="120"/>
        <w:jc w:val="center"/>
      </w:pPr>
      <w:r>
        <w:rPr>
          <w:rFonts w:ascii="Calibri" w:cs="Calibri" w:eastAsia="Calibri" w:hAnsi="Calibri"/>
          <w:b/>
          <w:bCs/>
          <w:color w:val="14314B"/>
          <w:sz w:val="20"/>
          <w:szCs w:val="20"/>
        </w:rPr>
        <w:t xml:space="preserve">Cell  →  Coolant (convection)  →  Coolant circulation (pack-wide homogenisation)  →  Coolant  →  Casing wall (conduction)  →  Casing  →  Ambient air (natural convection)</w:t>
      </w:r>
    </w:p>
    <w:p>
      <w:pPr>
        <w:spacing w:after="160" w:line="276"/>
      </w:pPr>
      <w:r>
        <w:rPr>
          <w:rFonts w:ascii="Calibri" w:cs="Calibri" w:eastAsia="Calibri" w:hAnsi="Calibri"/>
          <w:sz w:val="21"/>
          <w:szCs w:val="21"/>
        </w:rPr>
        <w:t xml:space="preserve">This heat-rejection path, combined with the ΔT-based control logic described in Section 4, is the primary means by which the system constrains intra-pack thermal gradients during both drive and fast-charge operating modes.</w:t>
      </w:r>
    </w:p>
    <w:tbl>
      <w:tblPr>
        <w:tblW w:type="pct" w:w="100%"/>
        <w:tblBorders>
          <w:top w:val="none"/>
          <w:left w:val="none"/>
          <w:bottom w:val="none"/>
          <w:right w:val="none"/>
          <w:insideH w:val="none"/>
          <w:insideV w:val="none"/>
        </w:tblBorders>
      </w:tblPr>
      <w:tblGrid>
        <w:gridCol w:w="100"/>
      </w:tblGrid>
      <w:tr>
        <w:tc>
          <w:tcPr>
            <w:shd w:fill="1F6FEB"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3.  Cooling System — Single Line Diagram (SLD)</w:t>
            </w:r>
          </w:p>
        </w:tc>
      </w:tr>
    </w:tbl>
    <w:p>
      <w:pPr>
        <w:spacing w:after="160" w:line="276"/>
      </w:pPr>
      <w:r>
        <w:rPr>
          <w:rFonts w:ascii="Calibri" w:cs="Calibri" w:eastAsia="Calibri" w:hAnsi="Calibri"/>
          <w:sz w:val="21"/>
          <w:szCs w:val="21"/>
        </w:rPr>
        <w:t xml:space="preserve">Figure 1 shows the cooling system SLD: the hydraulic circuit (solid blue), the BMS control and sensor signal paths (dashed / dotted), and the casing heat-rejection path (red). Six thermistors (T1–T6) are positioned on the pack — five near the corners/edges and one centrally located — feeding the ΔT computation in the BMS.</w:t>
      </w:r>
    </w:p>
    <w:p>
      <w:pPr>
        <w:spacing w:after="60" w:before="160"/>
        <w:jc w:val="center"/>
      </w:pPr>
      <w:r>
        <w:drawing>
          <wp:inline distT="0" distB="0" distL="0" distR="0">
            <wp:extent cx="4953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52775"/>
                    </a:xfrm>
                    <a:prstGeom prst="rect">
                      <a:avLst/>
                    </a:prstGeom>
                  </pic:spPr>
                </pic:pic>
              </a:graphicData>
            </a:graphic>
          </wp:inline>
        </w:drawing>
      </w:r>
    </w:p>
    <w:p>
      <w:pPr>
        <w:spacing w:after="260" w:before="80"/>
        <w:jc w:val="center"/>
      </w:pPr>
      <w:r>
        <w:rPr>
          <w:rFonts w:ascii="Calibri" w:cs="Calibri" w:eastAsia="Calibri" w:hAnsi="Calibri"/>
          <w:i/>
          <w:iCs/>
          <w:color w:val="555555"/>
          <w:sz w:val="19"/>
          <w:szCs w:val="19"/>
        </w:rPr>
        <w:t xml:space="preserve">Figure 1 — Immersion-cooled BESS cooling system SLD: hydraulic circuit, BMS control/sensor signal paths, and casing-to-ambient heat rejection path.</w:t>
      </w:r>
    </w:p>
    <w:p>
      <w:pPr>
        <w:pStyle w:val="Heading2"/>
        <w:pBdr>
          <w:bottom w:val="single" w:color="1F6FEB" w:sz="10" w:space="2"/>
        </w:pBdr>
        <w:spacing w:after="120" w:before="260"/>
      </w:pPr>
      <w:r>
        <w:rPr>
          <w:rFonts w:ascii="Calibri" w:cs="Calibri" w:eastAsia="Calibri" w:hAnsi="Calibri"/>
          <w:b/>
          <w:bCs/>
          <w:color w:val="1F6FEB"/>
          <w:sz w:val="24"/>
          <w:szCs w:val="24"/>
        </w:rPr>
        <w:t xml:space="preserve">3.1  Key Design Features Evident in the SLD</w:t>
      </w:r>
    </w:p>
    <w:p>
      <w:pPr>
        <w:pStyle w:val="ListParagraph"/>
        <w:numPr>
          <w:ilvl w:val="0"/>
          <w:numId w:val="2"/>
        </w:numPr>
        <w:spacing w:after="80"/>
      </w:pPr>
      <w:r>
        <w:rPr>
          <w:rFonts w:ascii="Calibri" w:cs="Calibri" w:eastAsia="Calibri" w:hAnsi="Calibri"/>
          <w:sz w:val="21"/>
          <w:szCs w:val="21"/>
        </w:rPr>
        <w:t xml:space="preserve">Single closed hydraulic loop — pack immersion channel → pump → pack immersion channel — with no external heat exchanger or reservoir.</w:t>
      </w:r>
    </w:p>
    <w:p>
      <w:pPr>
        <w:pStyle w:val="ListParagraph"/>
        <w:numPr>
          <w:ilvl w:val="0"/>
          <w:numId w:val="2"/>
        </w:numPr>
        <w:spacing w:after="80"/>
      </w:pPr>
      <w:r>
        <w:rPr>
          <w:rFonts w:ascii="Calibri" w:cs="Calibri" w:eastAsia="Calibri" w:hAnsi="Calibri"/>
          <w:sz w:val="21"/>
          <w:szCs w:val="21"/>
        </w:rPr>
        <w:t xml:space="preserve">Thermistor bundle (T1–T6) feeds the BMS continuously; the BMS computes ΔT and issues the pump-enable signal independently of the hydraulic circuit.</w:t>
      </w:r>
    </w:p>
    <w:p>
      <w:pPr>
        <w:pStyle w:val="ListParagraph"/>
        <w:numPr>
          <w:ilvl w:val="0"/>
          <w:numId w:val="2"/>
        </w:numPr>
        <w:spacing w:after="80"/>
      </w:pPr>
      <w:r>
        <w:rPr>
          <w:rFonts w:ascii="Calibri" w:cs="Calibri" w:eastAsia="Calibri" w:hAnsi="Calibri"/>
          <w:sz w:val="21"/>
          <w:szCs w:val="21"/>
        </w:rPr>
        <w:t xml:space="preserve">CAN-bus inputs (SOC, ignition, fast-charge status) are combined with the thermal signal at the BMS before the pump-enable decision is issued.</w:t>
      </w:r>
    </w:p>
    <w:p>
      <w:pPr>
        <w:pStyle w:val="ListParagraph"/>
        <w:numPr>
          <w:ilvl w:val="0"/>
          <w:numId w:val="2"/>
        </w:numPr>
        <w:spacing w:after="80"/>
      </w:pPr>
      <w:r>
        <w:rPr>
          <w:rFonts w:ascii="Calibri" w:cs="Calibri" w:eastAsia="Calibri" w:hAnsi="Calibri"/>
          <w:sz w:val="21"/>
          <w:szCs w:val="21"/>
        </w:rPr>
        <w:t xml:space="preserve">The only path for heat to leave the system is via the sealed aluminium casing to ambient air — a design point directly relevant to fire and thermal-runaway propagation assessment under the IRS framework.</w:t>
      </w:r>
    </w:p>
    <w:p/>
    <w:tbl>
      <w:tblPr>
        <w:tblW w:type="pct" w:w="100%"/>
        <w:tblBorders>
          <w:top w:val="none"/>
          <w:left w:val="none"/>
          <w:bottom w:val="none"/>
          <w:right w:val="none"/>
          <w:insideH w:val="none"/>
          <w:insideV w:val="none"/>
        </w:tblBorders>
      </w:tblPr>
      <w:tblGrid>
        <w:gridCol w:w="100"/>
      </w:tblGrid>
      <w:tr>
        <w:tc>
          <w:tcPr>
            <w:shd w:fill="7B2D8E"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4.  BMS Pump Activation Logic</w:t>
            </w:r>
          </w:p>
        </w:tc>
      </w:tr>
    </w:tbl>
    <w:p>
      <w:pPr>
        <w:spacing w:after="160" w:line="276"/>
      </w:pPr>
      <w:r>
        <w:rPr>
          <w:rFonts w:ascii="Calibri" w:cs="Calibri" w:eastAsia="Calibri" w:hAnsi="Calibri"/>
          <w:sz w:val="21"/>
          <w:szCs w:val="21"/>
        </w:rPr>
        <w:t xml:space="preserve">The cooling pump is switched ON whenever either of two conditions is satisfied. This section defines both conditions, their combined Boolean structure, and the full truth table executed by the BMS.</w:t>
      </w:r>
    </w:p>
    <w:p>
      <w:pPr>
        <w:pStyle w:val="Heading2"/>
        <w:pBdr>
          <w:bottom w:val="single" w:color="7B2D8E" w:sz="10" w:space="2"/>
        </w:pBdr>
        <w:spacing w:after="120" w:before="260"/>
      </w:pPr>
      <w:r>
        <w:rPr>
          <w:rFonts w:ascii="Calibri" w:cs="Calibri" w:eastAsia="Calibri" w:hAnsi="Calibri"/>
          <w:b/>
          <w:bCs/>
          <w:color w:val="7B2D8E"/>
          <w:sz w:val="24"/>
          <w:szCs w:val="24"/>
        </w:rPr>
        <w:t xml:space="preserve">4.1  Condition A — Fast Charging</w:t>
      </w:r>
    </w:p>
    <w:p>
      <w:pPr>
        <w:pStyle w:val="ListParagraph"/>
        <w:numPr>
          <w:ilvl w:val="0"/>
          <w:numId w:val="2"/>
        </w:numPr>
        <w:spacing w:after="80"/>
      </w:pPr>
      <w:r>
        <w:rPr>
          <w:rFonts w:ascii="Calibri" w:cs="Calibri" w:eastAsia="Calibri" w:hAnsi="Calibri"/>
          <w:sz w:val="21"/>
          <w:szCs w:val="21"/>
        </w:rPr>
        <w:t xml:space="preserve">Fast charging is active, AND</w:t>
      </w:r>
    </w:p>
    <w:p>
      <w:pPr>
        <w:pStyle w:val="ListParagraph"/>
        <w:numPr>
          <w:ilvl w:val="0"/>
          <w:numId w:val="2"/>
        </w:numPr>
        <w:spacing w:after="80"/>
      </w:pPr>
      <w:r>
        <w:rPr>
          <w:rFonts w:ascii="Calibri" w:cs="Calibri" w:eastAsia="Calibri" w:hAnsi="Calibri"/>
          <w:sz w:val="21"/>
          <w:szCs w:val="21"/>
        </w:rPr>
        <w:t xml:space="preserve">SOC ≥ 10%</w:t>
      </w:r>
    </w:p>
    <w:p>
      <w:pPr>
        <w:spacing w:after="160" w:line="276"/>
      </w:pPr>
      <w:r>
        <w:rPr>
          <w:rFonts w:ascii="Calibri" w:cs="Calibri" w:eastAsia="Calibri" w:hAnsi="Calibri"/>
          <w:sz w:val="21"/>
          <w:szCs w:val="21"/>
        </w:rPr>
        <w:t xml:space="preserve">When Condition A is met, the pump is latched ON for the entire fast-charge session — it does not cycle off between charge pulses. It turns off once fast charging ends or SOC drops below the 10% threshold, whichever occurs first.</w:t>
      </w:r>
    </w:p>
    <w:p>
      <w:pPr>
        <w:pStyle w:val="Heading2"/>
        <w:pBdr>
          <w:bottom w:val="single" w:color="7B2D8E" w:sz="10" w:space="2"/>
        </w:pBdr>
        <w:spacing w:after="120" w:before="260"/>
      </w:pPr>
      <w:r>
        <w:rPr>
          <w:rFonts w:ascii="Calibri" w:cs="Calibri" w:eastAsia="Calibri" w:hAnsi="Calibri"/>
          <w:b/>
          <w:bCs/>
          <w:color w:val="7B2D8E"/>
          <w:sz w:val="24"/>
          <w:szCs w:val="24"/>
        </w:rPr>
        <w:t xml:space="preserve">4.2  Condition B — Thermal Delta During Drive</w:t>
      </w:r>
    </w:p>
    <w:p>
      <w:pPr>
        <w:pStyle w:val="ListParagraph"/>
        <w:numPr>
          <w:ilvl w:val="0"/>
          <w:numId w:val="2"/>
        </w:numPr>
        <w:spacing w:after="80"/>
      </w:pPr>
      <w:r>
        <w:rPr>
          <w:rFonts w:ascii="Calibri" w:cs="Calibri" w:eastAsia="Calibri" w:hAnsi="Calibri"/>
          <w:sz w:val="21"/>
          <w:szCs w:val="21"/>
        </w:rPr>
        <w:t xml:space="preserve">A minimum temperature differential ΔT ≥ 4°C exists within the pack (Tmax − Tmin across monitored cells), AND</w:t>
      </w:r>
    </w:p>
    <w:p>
      <w:pPr>
        <w:pStyle w:val="ListParagraph"/>
        <w:numPr>
          <w:ilvl w:val="0"/>
          <w:numId w:val="2"/>
        </w:numPr>
        <w:spacing w:after="80"/>
      </w:pPr>
      <w:r>
        <w:rPr>
          <w:rFonts w:ascii="Calibri" w:cs="Calibri" w:eastAsia="Calibri" w:hAnsi="Calibri"/>
          <w:sz w:val="21"/>
          <w:szCs w:val="21"/>
        </w:rPr>
        <w:t xml:space="preserve">Ignition is ON, AND</w:t>
      </w:r>
    </w:p>
    <w:p>
      <w:pPr>
        <w:pStyle w:val="ListParagraph"/>
        <w:numPr>
          <w:ilvl w:val="0"/>
          <w:numId w:val="2"/>
        </w:numPr>
        <w:spacing w:after="80"/>
      </w:pPr>
      <w:r>
        <w:rPr>
          <w:rFonts w:ascii="Calibri" w:cs="Calibri" w:eastAsia="Calibri" w:hAnsi="Calibri"/>
          <w:sz w:val="21"/>
          <w:szCs w:val="21"/>
        </w:rPr>
        <w:t xml:space="preserve">SOC ≥ 10%</w:t>
      </w:r>
    </w:p>
    <w:p>
      <w:pPr>
        <w:spacing w:after="160" w:line="276"/>
      </w:pPr>
      <w:r>
        <w:rPr>
          <w:rFonts w:ascii="Calibri" w:cs="Calibri" w:eastAsia="Calibri" w:hAnsi="Calibri"/>
          <w:sz w:val="21"/>
          <w:szCs w:val="21"/>
        </w:rPr>
        <w:t xml:space="preserve">When Condition B is met, the pump switches ON, and switches OFF as soon as any one of the three sub-conditions is no longer satisfied.</w:t>
      </w:r>
    </w:p>
    <w:p>
      <w:pPr>
        <w:pStyle w:val="Heading2"/>
        <w:pBdr>
          <w:bottom w:val="single" w:color="7B2D8E" w:sz="10" w:space="2"/>
        </w:pBdr>
        <w:spacing w:after="120" w:before="260"/>
      </w:pPr>
      <w:r>
        <w:rPr>
          <w:rFonts w:ascii="Calibri" w:cs="Calibri" w:eastAsia="Calibri" w:hAnsi="Calibri"/>
          <w:b/>
          <w:bCs/>
          <w:color w:val="7B2D8E"/>
          <w:sz w:val="24"/>
          <w:szCs w:val="24"/>
        </w:rPr>
        <w:t xml:space="preserve">4.3  Combined Logic</w:t>
      </w:r>
    </w:p>
    <w:p>
      <w:pPr>
        <w:spacing w:after="60" w:before="160"/>
        <w:jc w:val="center"/>
      </w:pPr>
      <w:r>
        <w:drawing>
          <wp:inline distT="0" distB="0" distL="0" distR="0">
            <wp:extent cx="4762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43175"/>
                    </a:xfrm>
                    <a:prstGeom prst="rect">
                      <a:avLst/>
                    </a:prstGeom>
                  </pic:spPr>
                </pic:pic>
              </a:graphicData>
            </a:graphic>
          </wp:inline>
        </w:drawing>
      </w:r>
    </w:p>
    <w:p>
      <w:pPr>
        <w:spacing w:after="260" w:before="80"/>
        <w:jc w:val="center"/>
      </w:pPr>
      <w:r>
        <w:rPr>
          <w:rFonts w:ascii="Calibri" w:cs="Calibri" w:eastAsia="Calibri" w:hAnsi="Calibri"/>
          <w:i/>
          <w:iCs/>
          <w:color w:val="555555"/>
          <w:sz w:val="19"/>
          <w:szCs w:val="19"/>
        </w:rPr>
        <w:t xml:space="preserve">Figure 2 — Pump control logic: Condition A and Condition B combine through an OR function to generate the pump-enable output.</w:t>
      </w:r>
    </w:p>
    <w:p>
      <w:pPr>
        <w:pStyle w:val="Heading2"/>
        <w:pBdr>
          <w:bottom w:val="single" w:color="7B2D8E" w:sz="10" w:space="2"/>
        </w:pBdr>
        <w:spacing w:after="120" w:before="260"/>
      </w:pPr>
      <w:r>
        <w:rPr>
          <w:rFonts w:ascii="Calibri" w:cs="Calibri" w:eastAsia="Calibri" w:hAnsi="Calibri"/>
          <w:b/>
          <w:bCs/>
          <w:color w:val="7B2D8E"/>
          <w:sz w:val="24"/>
          <w:szCs w:val="24"/>
        </w:rPr>
        <w:t xml:space="preserve">4.4  Truth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200"/>
        <w:gridCol w:w="2800"/>
      </w:tblGrid>
      <w:tr>
        <w:trPr>
          <w:tblHeader/>
        </w:trPr>
        <w:tc>
          <w:tcPr>
            <w:tcW w:type="dxa" w:w="1600"/>
            <w:shd w:fill="7B2D8E"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Fast Charge Active</w:t>
            </w:r>
          </w:p>
        </w:tc>
        <w:tc>
          <w:tcPr>
            <w:tcW w:type="dxa" w:w="1300"/>
            <w:shd w:fill="7B2D8E"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ΔT ≥ 4°C</w:t>
            </w:r>
          </w:p>
        </w:tc>
        <w:tc>
          <w:tcPr>
            <w:tcW w:type="dxa" w:w="1300"/>
            <w:shd w:fill="7B2D8E"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Ignition ON</w:t>
            </w:r>
          </w:p>
        </w:tc>
        <w:tc>
          <w:tcPr>
            <w:tcW w:type="dxa" w:w="1300"/>
            <w:shd w:fill="7B2D8E"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SOC ≥ 10%</w:t>
            </w:r>
          </w:p>
        </w:tc>
        <w:tc>
          <w:tcPr>
            <w:tcW w:type="dxa" w:w="1200"/>
            <w:shd w:fill="7B2D8E"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Pump State</w:t>
            </w:r>
          </w:p>
        </w:tc>
        <w:tc>
          <w:tcPr>
            <w:tcW w:type="dxa" w:w="2800"/>
            <w:shd w:fill="7B2D8E"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Governing Condition</w:t>
            </w:r>
          </w:p>
        </w:tc>
      </w:tr>
      <w:tr>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ON</w:t>
            </w:r>
          </w:p>
        </w:tc>
        <w:tc>
          <w:tcPr>
            <w:tcW w:type="dxa" w:w="2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Condition A (fast charge)</w:t>
            </w:r>
          </w:p>
        </w:tc>
      </w:tr>
      <w:tr>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w:t>
            </w:r>
          </w:p>
        </w:tc>
        <w:tc>
          <w:tcPr>
            <w:tcW w:type="dxa" w:w="1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w:t>
            </w:r>
          </w:p>
        </w:tc>
        <w:tc>
          <w:tcPr>
            <w:tcW w:type="dxa" w:w="1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OFF</w:t>
            </w:r>
          </w:p>
        </w:tc>
        <w:tc>
          <w:tcPr>
            <w:tcW w:type="dxa" w:w="28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SOC below threshold</w:t>
            </w:r>
          </w:p>
        </w:tc>
      </w:tr>
      <w:tr>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ON</w:t>
            </w:r>
          </w:p>
        </w:tc>
        <w:tc>
          <w:tcPr>
            <w:tcW w:type="dxa" w:w="2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Condition B (ΔT + ignition)</w:t>
            </w:r>
          </w:p>
        </w:tc>
      </w:tr>
      <w:tr>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OFF</w:t>
            </w:r>
          </w:p>
        </w:tc>
        <w:tc>
          <w:tcPr>
            <w:tcW w:type="dxa" w:w="28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SOC below threshold</w:t>
            </w:r>
          </w:p>
        </w:tc>
      </w:tr>
      <w:tr>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OFF</w:t>
            </w:r>
          </w:p>
        </w:tc>
        <w:tc>
          <w:tcPr>
            <w:tcW w:type="dxa" w:w="2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Ignition not ON</w:t>
            </w:r>
          </w:p>
        </w:tc>
      </w:tr>
      <w:tr>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TRUE</w:t>
            </w:r>
          </w:p>
        </w:tc>
        <w:tc>
          <w:tcPr>
            <w:tcW w:type="dxa" w:w="1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OFF</w:t>
            </w:r>
          </w:p>
        </w:tc>
        <w:tc>
          <w:tcPr>
            <w:tcW w:type="dxa" w:w="28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ΔT below threshold</w:t>
            </w:r>
          </w:p>
        </w:tc>
      </w:tr>
      <w:tr>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FALSE</w:t>
            </w:r>
          </w:p>
        </w:tc>
        <w:tc>
          <w:tcPr>
            <w:tcW w:type="dxa" w:w="1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OFF</w:t>
            </w:r>
          </w:p>
        </w:tc>
        <w:tc>
          <w:tcPr>
            <w:tcW w:type="dxa" w:w="28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No condition met</w:t>
            </w:r>
          </w:p>
        </w:tc>
      </w:tr>
    </w:tbl>
    <w:p>
      <w:pPr>
        <w:spacing w:before="200"/>
      </w:pPr>
    </w:p>
    <w:p/>
    <w:tbl>
      <w:tblPr>
        <w:tblW w:type="pct" w:w="100%"/>
        <w:tblBorders>
          <w:top w:val="none"/>
          <w:left w:val="none"/>
          <w:bottom w:val="none"/>
          <w:right w:val="none"/>
          <w:insideH w:val="none"/>
          <w:insideV w:val="none"/>
        </w:tblBorders>
      </w:tblPr>
      <w:tblGrid>
        <w:gridCol w:w="100"/>
      </w:tblGrid>
      <w:tr>
        <w:tc>
          <w:tcPr>
            <w:shd w:fill="2EA043"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5.  Dielectric Immersion Coolant Fluid — Technical Properties</w:t>
            </w:r>
          </w:p>
        </w:tc>
      </w:tr>
    </w:tbl>
    <w:p>
      <w:pPr>
        <w:spacing w:after="160" w:line="276"/>
      </w:pPr>
      <w:r>
        <w:rPr>
          <w:rFonts w:ascii="Calibri" w:cs="Calibri" w:eastAsia="Calibri" w:hAnsi="Calibri"/>
          <w:sz w:val="21"/>
          <w:szCs w:val="21"/>
        </w:rPr>
        <w:t xml:space="preserve">The coolant fluid is a synthetic organic ester dielectric fluid, formulated to meet IEC 61099:2010 and the equivalent Indian Standard IS 16081:2013 for unused synthetic organic esters for electrical purposes. It is classified as a K-class (less-flammable) insulating liquid, and is the sole coolant and dielectric medium in the immersion-cooled battery pack described in Sections 2–4.</w:t>
      </w:r>
    </w:p>
    <w:p>
      <w:pPr>
        <w:pStyle w:val="Heading2"/>
        <w:pBdr>
          <w:bottom w:val="single" w:color="2EA043" w:sz="10" w:space="2"/>
        </w:pBdr>
        <w:spacing w:after="120" w:before="260"/>
      </w:pPr>
      <w:r>
        <w:rPr>
          <w:rFonts w:ascii="Calibri" w:cs="Calibri" w:eastAsia="Calibri" w:hAnsi="Calibri"/>
          <w:b/>
          <w:bCs/>
          <w:color w:val="2EA043"/>
          <w:sz w:val="24"/>
          <w:szCs w:val="24"/>
        </w:rPr>
        <w:t xml:space="preserve">5.1  Fire Safety Performance</w:t>
      </w:r>
    </w:p>
    <w:p>
      <w:pPr>
        <w:pStyle w:val="ListParagraph"/>
        <w:numPr>
          <w:ilvl w:val="0"/>
          <w:numId w:val="2"/>
        </w:numPr>
        <w:spacing w:after="80"/>
      </w:pPr>
      <w:r>
        <w:rPr>
          <w:rFonts w:ascii="Calibri" w:cs="Calibri" w:eastAsia="Calibri" w:hAnsi="Calibri"/>
          <w:sz w:val="21"/>
          <w:szCs w:val="21"/>
        </w:rPr>
        <w:t xml:space="preserve">Flash point 290°C / fire point 316°C — versus a typical mineral-oil flash point of ~140–160°C — meeting K-class classification.</w:t>
      </w:r>
    </w:p>
    <w:p>
      <w:pPr>
        <w:pStyle w:val="ListParagraph"/>
        <w:numPr>
          <w:ilvl w:val="0"/>
          <w:numId w:val="2"/>
        </w:numPr>
        <w:spacing w:after="80"/>
      </w:pPr>
      <w:r>
        <w:rPr>
          <w:rFonts w:ascii="Calibri" w:cs="Calibri" w:eastAsia="Calibri" w:hAnsi="Calibri"/>
          <w:sz w:val="21"/>
          <w:szCs w:val="21"/>
        </w:rPr>
        <w:t xml:space="preserve">Net Calorific Value of approximately 31.6–32.6 MJ/kg, within the K-class fire-severity threshold, limiting fire severity in the event of a casing breach.</w:t>
      </w:r>
    </w:p>
    <w:p>
      <w:pPr>
        <w:pStyle w:val="ListParagraph"/>
        <w:numPr>
          <w:ilvl w:val="0"/>
          <w:numId w:val="2"/>
        </w:numPr>
        <w:spacing w:after="80"/>
      </w:pPr>
      <w:r>
        <w:rPr>
          <w:rFonts w:ascii="Calibri" w:cs="Calibri" w:eastAsia="Calibri" w:hAnsi="Calibri"/>
          <w:sz w:val="21"/>
          <w:szCs w:val="21"/>
        </w:rPr>
        <w:t xml:space="preserve">Certified under UL 340 and FM Approval (Class 6933) frameworks (Section 5.4), supporting reduced separation-distance and fire-protection design margins, subject to confirmation by the authority having jurisdiction.</w:t>
      </w:r>
    </w:p>
    <w:p>
      <w:pPr>
        <w:pStyle w:val="Heading2"/>
        <w:pBdr>
          <w:bottom w:val="single" w:color="2EA043" w:sz="10" w:space="2"/>
        </w:pBdr>
        <w:spacing w:after="120" w:before="260"/>
      </w:pPr>
      <w:r>
        <w:rPr>
          <w:rFonts w:ascii="Calibri" w:cs="Calibri" w:eastAsia="Calibri" w:hAnsi="Calibri"/>
          <w:b/>
          <w:bCs/>
          <w:color w:val="2EA043"/>
          <w:sz w:val="24"/>
          <w:szCs w:val="24"/>
        </w:rPr>
        <w:t xml:space="preserve">5.2  Typical Technical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900"/>
        <w:gridCol w:w="1600"/>
        <w:gridCol w:w="2100"/>
      </w:tblGrid>
      <w:tr>
        <w:trPr>
          <w:tblHeader/>
        </w:trPr>
        <w:tc>
          <w:tcPr>
            <w:tcW w:type="dxa" w:w="23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Property</w:t>
            </w:r>
          </w:p>
        </w:tc>
        <w:tc>
          <w:tcPr>
            <w:tcW w:type="dxa" w:w="21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Test Method</w:t>
            </w:r>
          </w:p>
        </w:tc>
        <w:tc>
          <w:tcPr>
            <w:tcW w:type="dxa" w:w="9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Unit</w:t>
            </w:r>
          </w:p>
        </w:tc>
        <w:tc>
          <w:tcPr>
            <w:tcW w:type="dxa" w:w="16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Typical Value</w:t>
            </w:r>
          </w:p>
        </w:tc>
        <w:tc>
          <w:tcPr>
            <w:tcW w:type="dxa" w:w="21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IEC 61099 / IS 16081 Limit</w:t>
            </w:r>
          </w:p>
        </w:tc>
      </w:tr>
      <w:tr>
        <w:tc>
          <w:tcPr>
            <w:tcW w:type="dxa" w:w="2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Appearance</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Visual</w:t>
            </w:r>
          </w:p>
        </w:tc>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w:t>
            </w:r>
          </w:p>
        </w:tc>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Clear, pale yellow liquid</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Clear</w:t>
            </w:r>
          </w:p>
        </w:tc>
      </w:tr>
      <w:tr>
        <w:tc>
          <w:tcPr>
            <w:tcW w:type="dxa" w:w="2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Colour</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61099 / ISO 2049</w:t>
            </w:r>
          </w:p>
        </w:tc>
        <w:tc>
          <w:tcPr>
            <w:tcW w:type="dxa" w:w="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w:t>
            </w:r>
          </w:p>
        </w:tc>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&lt; 1</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&lt; 1</w:t>
            </w:r>
          </w:p>
        </w:tc>
      </w:tr>
      <w:tr>
        <w:tc>
          <w:tcPr>
            <w:tcW w:type="dxa" w:w="2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Density at 20°C</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61099 / ISO 12185</w:t>
            </w:r>
          </w:p>
        </w:tc>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kg/m³</w:t>
            </w:r>
          </w:p>
        </w:tc>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963.5</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 1000</w:t>
            </w:r>
          </w:p>
        </w:tc>
      </w:tr>
      <w:tr>
        <w:tc>
          <w:tcPr>
            <w:tcW w:type="dxa" w:w="2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Viscosity at 40°C</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ASTM D 7042</w:t>
            </w:r>
          </w:p>
        </w:tc>
        <w:tc>
          <w:tcPr>
            <w:tcW w:type="dxa" w:w="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mm²/s</w:t>
            </w:r>
          </w:p>
        </w:tc>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30.0</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max. 35</w:t>
            </w:r>
          </w:p>
        </w:tc>
      </w:tr>
      <w:tr>
        <w:tc>
          <w:tcPr>
            <w:tcW w:type="dxa" w:w="2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Viscosity at −20°C</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ASTM D 7042</w:t>
            </w:r>
          </w:p>
        </w:tc>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mm²/s</w:t>
            </w:r>
          </w:p>
        </w:tc>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1446</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max. 3000</w:t>
            </w:r>
          </w:p>
        </w:tc>
      </w:tr>
      <w:tr>
        <w:tc>
          <w:tcPr>
            <w:tcW w:type="dxa" w:w="2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Viscosity at 100°C</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ASTM D 7042</w:t>
            </w:r>
          </w:p>
        </w:tc>
        <w:tc>
          <w:tcPr>
            <w:tcW w:type="dxa" w:w="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mm²/s</w:t>
            </w:r>
          </w:p>
        </w:tc>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5.38</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max. 15</w:t>
            </w:r>
          </w:p>
        </w:tc>
      </w:tr>
      <w:tr>
        <w:tc>
          <w:tcPr>
            <w:tcW w:type="dxa" w:w="2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Pour Point</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61099 / ISO 3016</w:t>
            </w:r>
          </w:p>
        </w:tc>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w:t>
            </w:r>
          </w:p>
        </w:tc>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−57 to −63</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max. −40</w:t>
            </w:r>
          </w:p>
        </w:tc>
      </w:tr>
      <w:tr>
        <w:tc>
          <w:tcPr>
            <w:tcW w:type="dxa" w:w="2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Flash Point</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61099 / ISO 2592</w:t>
            </w:r>
          </w:p>
        </w:tc>
        <w:tc>
          <w:tcPr>
            <w:tcW w:type="dxa" w:w="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w:t>
            </w:r>
          </w:p>
        </w:tc>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290</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min. 250</w:t>
            </w:r>
          </w:p>
        </w:tc>
      </w:tr>
      <w:tr>
        <w:tc>
          <w:tcPr>
            <w:tcW w:type="dxa" w:w="2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Fire Point</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61099 / ISO 2592</w:t>
            </w:r>
          </w:p>
        </w:tc>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w:t>
            </w:r>
          </w:p>
        </w:tc>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316</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min. 300</w:t>
            </w:r>
          </w:p>
        </w:tc>
      </w:tr>
      <w:tr>
        <w:tc>
          <w:tcPr>
            <w:tcW w:type="dxa" w:w="2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Neutralisation Value</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62021-3</w:t>
            </w:r>
          </w:p>
        </w:tc>
        <w:tc>
          <w:tcPr>
            <w:tcW w:type="dxa" w:w="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mg KOH/g</w:t>
            </w:r>
          </w:p>
        </w:tc>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&lt; 0.01</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 0.03</w:t>
            </w:r>
          </w:p>
        </w:tc>
      </w:tr>
      <w:tr>
        <w:tc>
          <w:tcPr>
            <w:tcW w:type="dxa" w:w="2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Water Content</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60814</w:t>
            </w:r>
          </w:p>
        </w:tc>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mg H2O/kg</w:t>
            </w:r>
          </w:p>
        </w:tc>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3</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 200</w:t>
            </w:r>
          </w:p>
        </w:tc>
      </w:tr>
      <w:tr>
        <w:tc>
          <w:tcPr>
            <w:tcW w:type="dxa" w:w="2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Breakdown Voltage</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60156</w:t>
            </w:r>
          </w:p>
        </w:tc>
        <w:tc>
          <w:tcPr>
            <w:tcW w:type="dxa" w:w="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kV</w:t>
            </w:r>
          </w:p>
        </w:tc>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73</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&gt; 45</w:t>
            </w:r>
          </w:p>
        </w:tc>
      </w:tr>
      <w:tr>
        <w:tc>
          <w:tcPr>
            <w:tcW w:type="dxa" w:w="2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Dielectric Dissipation Factor (90°C)</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60247</w:t>
            </w:r>
          </w:p>
        </w:tc>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w:t>
            </w:r>
          </w:p>
        </w:tc>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0.006</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 0.03</w:t>
            </w:r>
          </w:p>
        </w:tc>
      </w:tr>
      <w:tr>
        <w:tc>
          <w:tcPr>
            <w:tcW w:type="dxa" w:w="2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DC Resistivity at 90°C</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60247</w:t>
            </w:r>
          </w:p>
        </w:tc>
        <w:tc>
          <w:tcPr>
            <w:tcW w:type="dxa" w:w="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GΩ·m</w:t>
            </w:r>
          </w:p>
        </w:tc>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15</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min. 2</w:t>
            </w:r>
          </w:p>
        </w:tc>
      </w:tr>
      <w:tr>
        <w:tc>
          <w:tcPr>
            <w:tcW w:type="dxa" w:w="2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Corrosive Sulfur</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62535</w:t>
            </w:r>
          </w:p>
        </w:tc>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w:t>
            </w:r>
          </w:p>
        </w:tc>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Non-corrosive</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Negative</w:t>
            </w:r>
          </w:p>
        </w:tc>
      </w:tr>
      <w:tr>
        <w:tc>
          <w:tcPr>
            <w:tcW w:type="dxa" w:w="2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Oxidation Stability 164h – Total Acidity</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61125</w:t>
            </w:r>
          </w:p>
        </w:tc>
        <w:tc>
          <w:tcPr>
            <w:tcW w:type="dxa" w:w="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mg KOH/g</w:t>
            </w:r>
          </w:p>
        </w:tc>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0.10</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max. 0.3</w:t>
            </w:r>
          </w:p>
        </w:tc>
      </w:tr>
      <w:tr>
        <w:tc>
          <w:tcPr>
            <w:tcW w:type="dxa" w:w="2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Oxidation Stability 164h – Sludge</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61125</w:t>
            </w:r>
          </w:p>
        </w:tc>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w:t>
            </w:r>
          </w:p>
        </w:tc>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&lt; 0.01</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max. 0.01</w:t>
            </w:r>
          </w:p>
        </w:tc>
      </w:tr>
      <w:tr>
        <w:tc>
          <w:tcPr>
            <w:tcW w:type="dxa" w:w="2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PCB Content</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61619</w:t>
            </w:r>
          </w:p>
        </w:tc>
        <w:tc>
          <w:tcPr>
            <w:tcW w:type="dxa" w:w="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mg/kg</w:t>
            </w:r>
          </w:p>
        </w:tc>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Not detectable</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Not detectable</w:t>
            </w:r>
          </w:p>
        </w:tc>
      </w:tr>
      <w:tr>
        <w:tc>
          <w:tcPr>
            <w:tcW w:type="dxa" w:w="23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DBDS Content</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62697-1</w:t>
            </w:r>
          </w:p>
        </w:tc>
        <w:tc>
          <w:tcPr>
            <w:tcW w:type="dxa" w:w="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mg/kg</w:t>
            </w:r>
          </w:p>
        </w:tc>
        <w:tc>
          <w:tcPr>
            <w:tcW w:type="dxa" w:w="1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Not detectable</w:t>
            </w:r>
          </w:p>
        </w:tc>
        <w:tc>
          <w:tcPr>
            <w:tcW w:type="dxa" w:w="2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Not detectable</w:t>
            </w:r>
          </w:p>
        </w:tc>
      </w:tr>
      <w:tr>
        <w:tc>
          <w:tcPr>
            <w:tcW w:type="dxa" w:w="23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Net Calorific Value</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ASTM D 240</w:t>
            </w:r>
          </w:p>
        </w:tc>
        <w:tc>
          <w:tcPr>
            <w:tcW w:type="dxa" w:w="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MJ/kg</w:t>
            </w:r>
          </w:p>
        </w:tc>
        <w:tc>
          <w:tcPr>
            <w:tcW w:type="dxa" w:w="1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31.6 – 32.6</w:t>
            </w:r>
          </w:p>
        </w:tc>
        <w:tc>
          <w:tcPr>
            <w:tcW w:type="dxa" w:w="2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K-class (fire point ≥ 300°C)</w:t>
            </w:r>
          </w:p>
        </w:tc>
      </w:tr>
    </w:tbl>
    <w:p>
      <w:pPr>
        <w:spacing w:before="200"/>
      </w:pPr>
    </w:p>
    <w:p>
      <w:pPr>
        <w:pStyle w:val="Heading2"/>
        <w:pBdr>
          <w:bottom w:val="single" w:color="2EA043" w:sz="10" w:space="2"/>
        </w:pBdr>
        <w:spacing w:after="120" w:before="260"/>
      </w:pPr>
      <w:r>
        <w:rPr>
          <w:rFonts w:ascii="Calibri" w:cs="Calibri" w:eastAsia="Calibri" w:hAnsi="Calibri"/>
          <w:b/>
          <w:bCs/>
          <w:color w:val="2EA043"/>
          <w:sz w:val="24"/>
          <w:szCs w:val="24"/>
        </w:rPr>
        <w:t xml:space="preserve">5.3  Environmental and Aquatic Safety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4700"/>
        <w:gridCol w:w="1000"/>
      </w:tblGrid>
      <w:tr>
        <w:trPr>
          <w:tblHeader/>
        </w:trPr>
        <w:tc>
          <w:tcPr>
            <w:tcW w:type="dxa" w:w="22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Environmental Test</w:t>
            </w:r>
          </w:p>
        </w:tc>
        <w:tc>
          <w:tcPr>
            <w:tcW w:type="dxa" w:w="11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Method</w:t>
            </w:r>
          </w:p>
        </w:tc>
        <w:tc>
          <w:tcPr>
            <w:tcW w:type="dxa" w:w="47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Result</w:t>
            </w:r>
          </w:p>
        </w:tc>
        <w:tc>
          <w:tcPr>
            <w:tcW w:type="dxa" w:w="10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Ref.</w:t>
            </w:r>
          </w:p>
        </w:tc>
      </w:tr>
      <w:tr>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Ready Biodegradability</w:t>
            </w:r>
          </w:p>
        </w:tc>
        <w:tc>
          <w:tcPr>
            <w:tcW w:type="dxa" w:w="1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OECD 301B</w:t>
            </w:r>
          </w:p>
        </w:tc>
        <w:tc>
          <w:tcPr>
            <w:tcW w:type="dxa" w:w="47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92.91% biodegradation by Day 28 (reference: rapeseed oil, 100%) — meets 60% ready-biodegradability threshold</w:t>
            </w:r>
          </w:p>
        </w:tc>
        <w:tc>
          <w:tcPr>
            <w:tcW w:type="dxa" w:w="1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Appx. H</w:t>
            </w:r>
          </w:p>
        </w:tc>
      </w:tr>
      <w:tr>
        <w:tc>
          <w:tcPr>
            <w:tcW w:type="dxa" w:w="2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Acute Aquatic Toxicity – Daphnia magna</w:t>
            </w:r>
          </w:p>
        </w:tc>
        <w:tc>
          <w:tcPr>
            <w:tcW w:type="dxa" w:w="1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OECD 202</w:t>
            </w:r>
          </w:p>
        </w:tc>
        <w:tc>
          <w:tcPr>
            <w:tcW w:type="dxa" w:w="47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24h EC50 &gt; 100 mg/L; 48h EC50 &gt; 100 mg/L — no immobilisation observed up to 100 mg/L</w:t>
            </w:r>
          </w:p>
        </w:tc>
        <w:tc>
          <w:tcPr>
            <w:tcW w:type="dxa" w:w="1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Appx. J</w:t>
            </w:r>
          </w:p>
        </w:tc>
      </w:tr>
      <w:tr>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Freshwater Algae Growth Inhibition</w:t>
            </w:r>
          </w:p>
        </w:tc>
        <w:tc>
          <w:tcPr>
            <w:tcW w:type="dxa" w:w="1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OECD 201</w:t>
            </w:r>
          </w:p>
        </w:tc>
        <w:tc>
          <w:tcPr>
            <w:tcW w:type="dxa" w:w="47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No adverse effect threshold reached in the tested range</w:t>
            </w:r>
          </w:p>
        </w:tc>
        <w:tc>
          <w:tcPr>
            <w:tcW w:type="dxa" w:w="1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Appx. I</w:t>
            </w:r>
          </w:p>
        </w:tc>
      </w:tr>
      <w:tr>
        <w:tc>
          <w:tcPr>
            <w:tcW w:type="dxa" w:w="2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Acute Aquatic Toxicity – Fish</w:t>
            </w:r>
          </w:p>
        </w:tc>
        <w:tc>
          <w:tcPr>
            <w:tcW w:type="dxa" w:w="1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OECD 203</w:t>
            </w:r>
          </w:p>
        </w:tc>
        <w:tc>
          <w:tcPr>
            <w:tcW w:type="dxa" w:w="47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No adverse effect threshold reached in the tested range</w:t>
            </w:r>
          </w:p>
        </w:tc>
        <w:tc>
          <w:tcPr>
            <w:tcW w:type="dxa" w:w="1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Appx. K</w:t>
            </w:r>
          </w:p>
        </w:tc>
      </w:tr>
    </w:tbl>
    <w:p>
      <w:pPr>
        <w:spacing w:before="200"/>
      </w:pPr>
    </w:p>
    <w:p>
      <w:pPr>
        <w:pStyle w:val="Heading2"/>
        <w:pBdr>
          <w:bottom w:val="single" w:color="2EA043" w:sz="10" w:space="2"/>
        </w:pBdr>
        <w:spacing w:after="120" w:before="260"/>
      </w:pPr>
      <w:r>
        <w:rPr>
          <w:rFonts w:ascii="Calibri" w:cs="Calibri" w:eastAsia="Calibri" w:hAnsi="Calibri"/>
          <w:b/>
          <w:bCs/>
          <w:color w:val="2EA043"/>
          <w:sz w:val="24"/>
          <w:szCs w:val="24"/>
        </w:rPr>
        <w:t xml:space="preserve">5.4  Certifications, Approvals &amp; Supporting Test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1900"/>
        <w:gridCol w:w="1100"/>
      </w:tblGrid>
      <w:tr>
        <w:trPr>
          <w:tblHeader/>
        </w:trPr>
        <w:tc>
          <w:tcPr>
            <w:tcW w:type="dxa" w:w="29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Certification / Test Report</w:t>
            </w:r>
          </w:p>
        </w:tc>
        <w:tc>
          <w:tcPr>
            <w:tcW w:type="dxa" w:w="31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Scope</w:t>
            </w:r>
          </w:p>
        </w:tc>
        <w:tc>
          <w:tcPr>
            <w:tcW w:type="dxa" w:w="19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Date / Reference</w:t>
            </w:r>
          </w:p>
        </w:tc>
        <w:tc>
          <w:tcPr>
            <w:tcW w:type="dxa" w:w="1100"/>
            <w:shd w:fill="2EA043"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Appx.</w:t>
            </w:r>
          </w:p>
        </w:tc>
      </w:tr>
      <w:tr>
        <w:tc>
          <w:tcPr>
            <w:tcW w:type="dxa" w:w="2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UL 340 (6th Ed.)</w:t>
            </w:r>
          </w:p>
        </w:tc>
        <w:tc>
          <w:tcPr>
            <w:tcW w:type="dxa" w:w="3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Dielectric Mediums (EOUV)</w:t>
            </w:r>
          </w:p>
        </w:tc>
        <w:tc>
          <w:tcPr>
            <w:tcW w:type="dxa" w:w="1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04-Apr-2024</w:t>
            </w:r>
          </w:p>
        </w:tc>
        <w:tc>
          <w:tcPr>
            <w:tcW w:type="dxa" w:w="1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Appx. B</w:t>
            </w:r>
          </w:p>
        </w:tc>
      </w:tr>
      <w:tr>
        <w:tc>
          <w:tcPr>
            <w:tcW w:type="dxa" w:w="2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FM Approval, Class 6933</w:t>
            </w:r>
          </w:p>
        </w:tc>
        <w:tc>
          <w:tcPr>
            <w:tcW w:type="dxa" w:w="3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Property loss prevention / fire performance</w:t>
            </w:r>
          </w:p>
        </w:tc>
        <w:tc>
          <w:tcPr>
            <w:tcW w:type="dxa" w:w="1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08-Mar-2024</w:t>
            </w:r>
          </w:p>
        </w:tc>
        <w:tc>
          <w:tcPr>
            <w:tcW w:type="dxa" w:w="1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Appx. C</w:t>
            </w:r>
          </w:p>
        </w:tc>
      </w:tr>
      <w:tr>
        <w:tc>
          <w:tcPr>
            <w:tcW w:type="dxa" w:w="2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ATEX Ex II 3G Ex II B T4</w:t>
            </w:r>
          </w:p>
        </w:tc>
        <w:tc>
          <w:tcPr>
            <w:tcW w:type="dxa" w:w="3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Zone 2 explosive-atmosphere use</w:t>
            </w:r>
          </w:p>
        </w:tc>
        <w:tc>
          <w:tcPr>
            <w:tcW w:type="dxa" w:w="1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Valid 30-Jun-2025 to 29-Jun-2035</w:t>
            </w:r>
          </w:p>
        </w:tc>
        <w:tc>
          <w:tcPr>
            <w:tcW w:type="dxa" w:w="1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w:t>
            </w:r>
          </w:p>
        </w:tc>
      </w:tr>
      <w:tr>
        <w:tc>
          <w:tcPr>
            <w:tcW w:type="dxa" w:w="2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61099:2010 / IS 16081:2013 Type Test</w:t>
            </w:r>
          </w:p>
        </w:tc>
        <w:tc>
          <w:tcPr>
            <w:tcW w:type="dxa" w:w="3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Independent laboratory type testing (Siemens Energy)</w:t>
            </w:r>
          </w:p>
        </w:tc>
        <w:tc>
          <w:tcPr>
            <w:tcW w:type="dxa" w:w="1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04-Jul-2023</w:t>
            </w:r>
          </w:p>
        </w:tc>
        <w:tc>
          <w:tcPr>
            <w:tcW w:type="dxa" w:w="1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Appx. A</w:t>
            </w:r>
          </w:p>
        </w:tc>
      </w:tr>
      <w:tr>
        <w:tc>
          <w:tcPr>
            <w:tcW w:type="dxa" w:w="2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Net Calorific Value Test Report</w:t>
            </w:r>
          </w:p>
        </w:tc>
        <w:tc>
          <w:tcPr>
            <w:tcW w:type="dxa" w:w="3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Independent laboratory test (Intertek India)</w:t>
            </w:r>
          </w:p>
        </w:tc>
        <w:tc>
          <w:tcPr>
            <w:tcW w:type="dxa" w:w="1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See report</w:t>
            </w:r>
          </w:p>
        </w:tc>
        <w:tc>
          <w:tcPr>
            <w:tcW w:type="dxa" w:w="1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Appx. D</w:t>
            </w:r>
          </w:p>
        </w:tc>
      </w:tr>
      <w:tr>
        <w:tc>
          <w:tcPr>
            <w:tcW w:type="dxa" w:w="2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EN 45545 Fire Behaviour Test Report</w:t>
            </w:r>
          </w:p>
        </w:tc>
        <w:tc>
          <w:tcPr>
            <w:tcW w:type="dxa" w:w="3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Independent laboratory test (Ignito Labs)</w:t>
            </w:r>
          </w:p>
        </w:tc>
        <w:tc>
          <w:tcPr>
            <w:tcW w:type="dxa" w:w="1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22-Dec-2023</w:t>
            </w:r>
          </w:p>
        </w:tc>
        <w:tc>
          <w:tcPr>
            <w:tcW w:type="dxa" w:w="1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Appx. E</w:t>
            </w:r>
          </w:p>
        </w:tc>
      </w:tr>
      <w:tr>
        <w:tc>
          <w:tcPr>
            <w:tcW w:type="dxa" w:w="2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ERDA Test Report — Transol Synth 100</w:t>
            </w:r>
          </w:p>
        </w:tc>
        <w:tc>
          <w:tcPr>
            <w:tcW w:type="dxa" w:w="3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Independent property verification (ERDA, Vadodara)</w:t>
            </w:r>
          </w:p>
        </w:tc>
        <w:tc>
          <w:tcPr>
            <w:tcW w:type="dxa" w:w="1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See report</w:t>
            </w:r>
          </w:p>
        </w:tc>
        <w:tc>
          <w:tcPr>
            <w:tcW w:type="dxa" w:w="11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Appx. F</w:t>
            </w:r>
          </w:p>
        </w:tc>
      </w:tr>
      <w:tr>
        <w:tc>
          <w:tcPr>
            <w:tcW w:type="dxa" w:w="2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ERDA Crystallization Report</w:t>
            </w:r>
          </w:p>
        </w:tc>
        <w:tc>
          <w:tcPr>
            <w:tcW w:type="dxa" w:w="3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Low-temperature crystallization behaviour (ERDA)</w:t>
            </w:r>
          </w:p>
        </w:tc>
        <w:tc>
          <w:tcPr>
            <w:tcW w:type="dxa" w:w="1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RP-2425-005920</w:t>
            </w:r>
          </w:p>
        </w:tc>
        <w:tc>
          <w:tcPr>
            <w:tcW w:type="dxa" w:w="11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Appx. G</w:t>
            </w:r>
          </w:p>
        </w:tc>
      </w:tr>
    </w:tbl>
    <w:p>
      <w:pPr>
        <w:spacing w:before="200"/>
      </w:pPr>
    </w:p>
    <w:p>
      <w:pPr>
        <w:spacing w:after="160" w:line="276"/>
      </w:pPr>
      <w:r>
        <w:rPr>
          <w:rFonts w:ascii="Calibri" w:cs="Calibri" w:eastAsia="Calibri" w:hAnsi="Calibri"/>
          <w:sz w:val="21"/>
          <w:szCs w:val="21"/>
        </w:rPr>
        <w:t xml:space="preserve">Full batch-specific properties are subject to confirmation against the current Certificate of Analysis and Safety Data Sheet (SDS) at the time of formal submission; the values above are typical properties compiled from independent laboratory test reports and certification bodies.</w:t>
      </w:r>
    </w:p>
    <w:p>
      <w:pPr>
        <w:pStyle w:val="Heading2"/>
        <w:pBdr>
          <w:bottom w:val="single" w:color="2EA043" w:sz="10" w:space="2"/>
        </w:pBdr>
        <w:spacing w:after="120" w:before="260"/>
      </w:pPr>
      <w:r>
        <w:rPr>
          <w:rFonts w:ascii="Calibri" w:cs="Calibri" w:eastAsia="Calibri" w:hAnsi="Calibri"/>
          <w:b/>
          <w:bCs/>
          <w:color w:val="2EA043"/>
          <w:sz w:val="24"/>
          <w:szCs w:val="24"/>
        </w:rPr>
        <w:t xml:space="preserve">5.5  Index of Supporting Test Reports</w:t>
      </w:r>
    </w:p>
    <w:p>
      <w:pPr>
        <w:spacing w:after="160" w:line="276"/>
      </w:pPr>
      <w:r>
        <w:rPr>
          <w:rFonts w:ascii="Calibri" w:cs="Calibri" w:eastAsia="Calibri" w:hAnsi="Calibri"/>
          <w:sz w:val="21"/>
          <w:szCs w:val="21"/>
        </w:rPr>
        <w:t xml:space="preserve">The independent laboratory test reports and certification documents underlying Sections 5.1–5.4 are reproduced in full in the Appendices, indexed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3000"/>
        <w:gridCol w:w="1400"/>
      </w:tblGrid>
      <w:tr>
        <w:trPr>
          <w:tblHeader/>
        </w:trPr>
        <w:tc>
          <w:tcPr>
            <w:tcW w:type="dxa" w:w="700"/>
            <w:shd w:fill="14314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Appx.</w:t>
            </w:r>
          </w:p>
        </w:tc>
        <w:tc>
          <w:tcPr>
            <w:tcW w:type="dxa" w:w="3900"/>
            <w:shd w:fill="14314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Report Title</w:t>
            </w:r>
          </w:p>
        </w:tc>
        <w:tc>
          <w:tcPr>
            <w:tcW w:type="dxa" w:w="3000"/>
            <w:shd w:fill="14314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Issuing Laboratory / Body</w:t>
            </w:r>
          </w:p>
        </w:tc>
        <w:tc>
          <w:tcPr>
            <w:tcW w:type="dxa" w:w="1400"/>
            <w:shd w:fill="14314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Page</w:t>
            </w:r>
          </w:p>
        </w:tc>
      </w:tr>
      <w:tr>
        <w:tc>
          <w:tcPr>
            <w:tcW w:type="dxa" w:w="7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w:t>
            </w:r>
          </w:p>
        </w:tc>
        <w:tc>
          <w:tcPr>
            <w:tcW w:type="dxa" w:w="3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61099 / IS 16081 Independent Type Test Report</w:t>
            </w:r>
          </w:p>
        </w:tc>
        <w:tc>
          <w:tcPr>
            <w:tcW w:type="dxa" w:w="3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Siemens Energy Global GmbH &amp; Co. KG</w:t>
            </w:r>
          </w:p>
        </w:tc>
        <w:tc>
          <w:tcPr>
            <w:tcW w:type="dxa" w:w="1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15</w:t>
            </w:r>
          </w:p>
        </w:tc>
      </w:tr>
      <w:tr>
        <w:tc>
          <w:tcPr>
            <w:tcW w:type="dxa" w:w="7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B</w:t>
            </w:r>
          </w:p>
        </w:tc>
        <w:tc>
          <w:tcPr>
            <w:tcW w:type="dxa" w:w="3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UL 340 Certificate of Compliance</w:t>
            </w:r>
          </w:p>
        </w:tc>
        <w:tc>
          <w:tcPr>
            <w:tcW w:type="dxa" w:w="3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UL Solutions</w:t>
            </w:r>
          </w:p>
        </w:tc>
        <w:tc>
          <w:tcPr>
            <w:tcW w:type="dxa" w:w="14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18</w:t>
            </w:r>
          </w:p>
        </w:tc>
      </w:tr>
      <w:tr>
        <w:tc>
          <w:tcPr>
            <w:tcW w:type="dxa" w:w="7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w:t>
            </w:r>
          </w:p>
        </w:tc>
        <w:tc>
          <w:tcPr>
            <w:tcW w:type="dxa" w:w="3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FM Approval — Certificate of Compliance (Class 6933)</w:t>
            </w:r>
          </w:p>
        </w:tc>
        <w:tc>
          <w:tcPr>
            <w:tcW w:type="dxa" w:w="3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FM Approvals</w:t>
            </w:r>
          </w:p>
        </w:tc>
        <w:tc>
          <w:tcPr>
            <w:tcW w:type="dxa" w:w="1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21</w:t>
            </w:r>
          </w:p>
        </w:tc>
      </w:tr>
      <w:tr>
        <w:tc>
          <w:tcPr>
            <w:tcW w:type="dxa" w:w="7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D</w:t>
            </w:r>
          </w:p>
        </w:tc>
        <w:tc>
          <w:tcPr>
            <w:tcW w:type="dxa" w:w="3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Net Calorific Value Test Report</w:t>
            </w:r>
          </w:p>
        </w:tc>
        <w:tc>
          <w:tcPr>
            <w:tcW w:type="dxa" w:w="3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Intertek India Pvt. Ltd.</w:t>
            </w:r>
          </w:p>
        </w:tc>
        <w:tc>
          <w:tcPr>
            <w:tcW w:type="dxa" w:w="14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23</w:t>
            </w:r>
          </w:p>
        </w:tc>
      </w:tr>
      <w:tr>
        <w:tc>
          <w:tcPr>
            <w:tcW w:type="dxa" w:w="7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E</w:t>
            </w:r>
          </w:p>
        </w:tc>
        <w:tc>
          <w:tcPr>
            <w:tcW w:type="dxa" w:w="3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Fire Behaviour Test Report (EN 45545)</w:t>
            </w:r>
          </w:p>
        </w:tc>
        <w:tc>
          <w:tcPr>
            <w:tcW w:type="dxa" w:w="3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Ignito Labs Pvt. Ltd.</w:t>
            </w:r>
          </w:p>
        </w:tc>
        <w:tc>
          <w:tcPr>
            <w:tcW w:type="dxa" w:w="1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26</w:t>
            </w:r>
          </w:p>
        </w:tc>
      </w:tr>
      <w:tr>
        <w:tc>
          <w:tcPr>
            <w:tcW w:type="dxa" w:w="7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w:t>
            </w:r>
          </w:p>
        </w:tc>
        <w:tc>
          <w:tcPr>
            <w:tcW w:type="dxa" w:w="3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ERDA Test Report — Transol Synth 100</w:t>
            </w:r>
          </w:p>
        </w:tc>
        <w:tc>
          <w:tcPr>
            <w:tcW w:type="dxa" w:w="3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ERDA, Vadodara</w:t>
            </w:r>
          </w:p>
        </w:tc>
        <w:tc>
          <w:tcPr>
            <w:tcW w:type="dxa" w:w="14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30</w:t>
            </w:r>
          </w:p>
        </w:tc>
      </w:tr>
      <w:tr>
        <w:tc>
          <w:tcPr>
            <w:tcW w:type="dxa" w:w="7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G</w:t>
            </w:r>
          </w:p>
        </w:tc>
        <w:tc>
          <w:tcPr>
            <w:tcW w:type="dxa" w:w="3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Crystallization Report (RP-2425-005920)</w:t>
            </w:r>
          </w:p>
        </w:tc>
        <w:tc>
          <w:tcPr>
            <w:tcW w:type="dxa" w:w="3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ERDA, Vadodara</w:t>
            </w:r>
          </w:p>
        </w:tc>
        <w:tc>
          <w:tcPr>
            <w:tcW w:type="dxa" w:w="1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35</w:t>
            </w:r>
          </w:p>
        </w:tc>
      </w:tr>
      <w:tr>
        <w:tc>
          <w:tcPr>
            <w:tcW w:type="dxa" w:w="7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H</w:t>
            </w:r>
          </w:p>
        </w:tc>
        <w:tc>
          <w:tcPr>
            <w:tcW w:type="dxa" w:w="3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Biodegradability Test Report (OECD 301B)</w:t>
            </w:r>
          </w:p>
        </w:tc>
        <w:tc>
          <w:tcPr>
            <w:tcW w:type="dxa" w:w="3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Intertek India Pvt. Ltd.</w:t>
            </w:r>
          </w:p>
        </w:tc>
        <w:tc>
          <w:tcPr>
            <w:tcW w:type="dxa" w:w="14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39</w:t>
            </w:r>
          </w:p>
        </w:tc>
      </w:tr>
      <w:tr>
        <w:tc>
          <w:tcPr>
            <w:tcW w:type="dxa" w:w="7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w:t>
            </w:r>
          </w:p>
        </w:tc>
        <w:tc>
          <w:tcPr>
            <w:tcW w:type="dxa" w:w="3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Freshwater Algae Growth Inhibition Report (OECD 201)</w:t>
            </w:r>
          </w:p>
        </w:tc>
        <w:tc>
          <w:tcPr>
            <w:tcW w:type="dxa" w:w="3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Intertek India Pvt. Ltd.</w:t>
            </w:r>
          </w:p>
        </w:tc>
        <w:tc>
          <w:tcPr>
            <w:tcW w:type="dxa" w:w="1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47</w:t>
            </w:r>
          </w:p>
        </w:tc>
      </w:tr>
      <w:tr>
        <w:tc>
          <w:tcPr>
            <w:tcW w:type="dxa" w:w="7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J</w:t>
            </w:r>
          </w:p>
        </w:tc>
        <w:tc>
          <w:tcPr>
            <w:tcW w:type="dxa" w:w="3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Daphnia sp. Immobilisation Report (OECD 202)</w:t>
            </w:r>
          </w:p>
        </w:tc>
        <w:tc>
          <w:tcPr>
            <w:tcW w:type="dxa" w:w="3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Intertek India Pvt. Ltd.</w:t>
            </w:r>
          </w:p>
        </w:tc>
        <w:tc>
          <w:tcPr>
            <w:tcW w:type="dxa" w:w="14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54</w:t>
            </w:r>
          </w:p>
        </w:tc>
      </w:tr>
      <w:tr>
        <w:tc>
          <w:tcPr>
            <w:tcW w:type="dxa" w:w="7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K</w:t>
            </w:r>
          </w:p>
        </w:tc>
        <w:tc>
          <w:tcPr>
            <w:tcW w:type="dxa" w:w="3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Fish Acute Toxicity Report (OECD 203)</w:t>
            </w:r>
          </w:p>
        </w:tc>
        <w:tc>
          <w:tcPr>
            <w:tcW w:type="dxa" w:w="3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Intertek India Pvt. Ltd.</w:t>
            </w:r>
          </w:p>
        </w:tc>
        <w:tc>
          <w:tcPr>
            <w:tcW w:type="dxa" w:w="1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64</w:t>
            </w:r>
          </w:p>
        </w:tc>
      </w:tr>
    </w:tbl>
    <w:p/>
    <w:tbl>
      <w:tblPr>
        <w:tblW w:type="pct" w:w="100%"/>
        <w:tblBorders>
          <w:top w:val="none"/>
          <w:left w:val="none"/>
          <w:bottom w:val="none"/>
          <w:right w:val="none"/>
          <w:insideH w:val="none"/>
          <w:insideV w:val="none"/>
        </w:tblBorders>
      </w:tblPr>
      <w:tblGrid>
        <w:gridCol w:w="100"/>
      </w:tblGrid>
      <w:tr>
        <w:tc>
          <w:tcPr>
            <w:shd w:fill="D9822B"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6.  Thermal Performance Validation</w:t>
            </w:r>
          </w:p>
        </w:tc>
      </w:tr>
    </w:tbl>
    <w:p>
      <w:pPr>
        <w:spacing w:after="160" w:line="276"/>
      </w:pPr>
      <w:r>
        <w:rPr>
          <w:rFonts w:ascii="Calibri" w:cs="Calibri" w:eastAsia="Calibri" w:hAnsi="Calibri"/>
          <w:sz w:val="21"/>
          <w:szCs w:val="21"/>
        </w:rPr>
        <w:t xml:space="preserve">Bench thermal-cycle testing was conducted at 28°C ambient across a full operational sequence — rest, discharge, rest, charge, rest — with all six pack thermistors (T1–T6) and battery ambient (T_Amb) logged continuously. This section presents the measured thermal response and cross-references it against the ΔT ≥ 4°C pump-activation threshold defined in Section 4.</w:t>
      </w:r>
    </w:p>
    <w:p>
      <w:pPr>
        <w:spacing w:after="60" w:before="160"/>
        <w:jc w:val="center"/>
      </w:pPr>
      <w:r>
        <w:drawing>
          <wp:inline distT="0" distB="0" distL="0" distR="0">
            <wp:extent cx="5143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09850"/>
                    </a:xfrm>
                    <a:prstGeom prst="rect">
                      <a:avLst/>
                    </a:prstGeom>
                  </pic:spPr>
                </pic:pic>
              </a:graphicData>
            </a:graphic>
          </wp:inline>
        </w:drawing>
      </w:r>
    </w:p>
    <w:p>
      <w:pPr>
        <w:spacing w:after="260" w:before="80"/>
        <w:jc w:val="center"/>
      </w:pPr>
      <w:r>
        <w:rPr>
          <w:rFonts w:ascii="Calibri" w:cs="Calibri" w:eastAsia="Calibri" w:hAnsi="Calibri"/>
          <w:i/>
          <w:iCs/>
          <w:color w:val="555555"/>
          <w:sz w:val="19"/>
          <w:szCs w:val="19"/>
        </w:rPr>
        <w:t xml:space="preserve">Figure 3 — Measured pack temperature profile across the full rest / discharge / rest / charge / rest test sequence (28°C ambient). Shaded bands mark each operating phase.</w:t>
      </w:r>
    </w:p>
    <w:p>
      <w:pPr>
        <w:pStyle w:val="Heading2"/>
        <w:pBdr>
          <w:bottom w:val="single" w:color="D9822B" w:sz="10" w:space="2"/>
        </w:pBdr>
        <w:spacing w:after="120" w:before="260"/>
      </w:pPr>
      <w:r>
        <w:rPr>
          <w:rFonts w:ascii="Calibri" w:cs="Calibri" w:eastAsia="Calibri" w:hAnsi="Calibri"/>
          <w:b/>
          <w:bCs/>
          <w:color w:val="D9822B"/>
          <w:sz w:val="24"/>
          <w:szCs w:val="24"/>
        </w:rPr>
        <w:t xml:space="preserve">6.1  Phase-wise Temperature Change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400"/>
        <w:gridCol w:w="2200"/>
        <w:gridCol w:w="2500"/>
      </w:tblGrid>
      <w:tr>
        <w:trPr>
          <w:tblHeader/>
        </w:trPr>
        <w:tc>
          <w:tcPr>
            <w:tcW w:type="dxa" w:w="2000"/>
            <w:shd w:fill="D9822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Phase</w:t>
            </w:r>
          </w:p>
        </w:tc>
        <w:tc>
          <w:tcPr>
            <w:tcW w:type="dxa" w:w="1700"/>
            <w:shd w:fill="D9822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Time Window</w:t>
            </w:r>
          </w:p>
        </w:tc>
        <w:tc>
          <w:tcPr>
            <w:tcW w:type="dxa" w:w="1400"/>
            <w:shd w:fill="D9822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Duration (min)</w:t>
            </w:r>
          </w:p>
        </w:tc>
        <w:tc>
          <w:tcPr>
            <w:tcW w:type="dxa" w:w="2200"/>
            <w:shd w:fill="D9822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Temperature Change Range (°C)</w:t>
            </w:r>
          </w:p>
        </w:tc>
        <w:tc>
          <w:tcPr>
            <w:tcW w:type="dxa" w:w="2500"/>
            <w:shd w:fill="D9822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Observation</w:t>
            </w:r>
          </w:p>
        </w:tc>
      </w:tr>
      <w:tr>
        <w:tc>
          <w:tcPr>
            <w:tcW w:type="dxa" w:w="2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Rest (initial)</w:t>
            </w:r>
          </w:p>
        </w:tc>
        <w:tc>
          <w:tcPr>
            <w:tcW w:type="dxa" w:w="17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15:27 – 16:14</w:t>
            </w:r>
          </w:p>
        </w:tc>
        <w:tc>
          <w:tcPr>
            <w:tcW w:type="dxa" w:w="1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46</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0 to +1</w:t>
            </w:r>
          </w:p>
        </w:tc>
        <w:tc>
          <w:tcPr>
            <w:tcW w:type="dxa" w:w="25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Baseline, thermal equilibrium with 28°C ambient</w:t>
            </w:r>
          </w:p>
        </w:tc>
      </w:tr>
      <w:tr>
        <w:tc>
          <w:tcPr>
            <w:tcW w:type="dxa" w:w="2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Discharge</w:t>
            </w:r>
          </w:p>
        </w:tc>
        <w:tc>
          <w:tcPr>
            <w:tcW w:type="dxa" w:w="17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16:14 – 18:01</w:t>
            </w:r>
          </w:p>
        </w:tc>
        <w:tc>
          <w:tcPr>
            <w:tcW w:type="dxa" w:w="14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107</w:t>
            </w:r>
          </w:p>
        </w:tc>
        <w:tc>
          <w:tcPr>
            <w:tcW w:type="dxa" w:w="2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+6 to +8</w:t>
            </w:r>
          </w:p>
        </w:tc>
        <w:tc>
          <w:tcPr>
            <w:tcW w:type="dxa" w:w="25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Steady rise; T6 (hot spot) shows largest gain</w:t>
            </w:r>
          </w:p>
        </w:tc>
      </w:tr>
      <w:tr>
        <w:tc>
          <w:tcPr>
            <w:tcW w:type="dxa" w:w="2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Rest (post-discharge)</w:t>
            </w:r>
          </w:p>
        </w:tc>
        <w:tc>
          <w:tcPr>
            <w:tcW w:type="dxa" w:w="17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18:01 – 18:31</w:t>
            </w:r>
          </w:p>
        </w:tc>
        <w:tc>
          <w:tcPr>
            <w:tcW w:type="dxa" w:w="1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30</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 to 0</w:t>
            </w:r>
          </w:p>
        </w:tc>
        <w:tc>
          <w:tcPr>
            <w:tcW w:type="dxa" w:w="25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Near-flat; slight inter-cell equalisation</w:t>
            </w:r>
          </w:p>
        </w:tc>
      </w:tr>
      <w:tr>
        <w:tc>
          <w:tcPr>
            <w:tcW w:type="dxa" w:w="2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Charge</w:t>
            </w:r>
          </w:p>
        </w:tc>
        <w:tc>
          <w:tcPr>
            <w:tcW w:type="dxa" w:w="17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18:31 – 20:17</w:t>
            </w:r>
          </w:p>
        </w:tc>
        <w:tc>
          <w:tcPr>
            <w:tcW w:type="dxa" w:w="14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106</w:t>
            </w:r>
          </w:p>
        </w:tc>
        <w:tc>
          <w:tcPr>
            <w:tcW w:type="dxa" w:w="2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+6 to +7</w:t>
            </w:r>
          </w:p>
        </w:tc>
        <w:tc>
          <w:tcPr>
            <w:tcW w:type="dxa" w:w="25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Comparable rise profile to discharge; T6 again highest</w:t>
            </w:r>
          </w:p>
        </w:tc>
      </w:tr>
      <w:tr>
        <w:tc>
          <w:tcPr>
            <w:tcW w:type="dxa" w:w="2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Rest (final)</w:t>
            </w:r>
          </w:p>
        </w:tc>
        <w:tc>
          <w:tcPr>
            <w:tcW w:type="dxa" w:w="17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20:17 – 20:52</w:t>
            </w:r>
          </w:p>
        </w:tc>
        <w:tc>
          <w:tcPr>
            <w:tcW w:type="dxa" w:w="14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35</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−2 to 0</w:t>
            </w:r>
          </w:p>
        </w:tc>
        <w:tc>
          <w:tcPr>
            <w:tcW w:type="dxa" w:w="25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Slight cooling / equalisation toward test end</w:t>
            </w:r>
          </w:p>
        </w:tc>
      </w:tr>
    </w:tbl>
    <w:p>
      <w:pPr>
        <w:spacing w:before="200"/>
      </w:pPr>
    </w:p>
    <w:p>
      <w:pPr>
        <w:pStyle w:val="Heading2"/>
        <w:pBdr>
          <w:bottom w:val="single" w:color="D9822B" w:sz="10" w:space="2"/>
        </w:pBdr>
        <w:spacing w:after="120" w:before="260"/>
      </w:pPr>
      <w:r>
        <w:rPr>
          <w:rFonts w:ascii="Calibri" w:cs="Calibri" w:eastAsia="Calibri" w:hAnsi="Calibri"/>
          <w:b/>
          <w:bCs/>
          <w:color w:val="D9822B"/>
          <w:sz w:val="24"/>
          <w:szCs w:val="24"/>
        </w:rPr>
        <w:t xml:space="preserve">6.2  Correlation with Pump Activation Threshold</w:t>
      </w:r>
    </w:p>
    <w:p>
      <w:pPr>
        <w:spacing w:after="160" w:line="276"/>
      </w:pPr>
      <w:r>
        <w:rPr>
          <w:rFonts w:ascii="Calibri" w:cs="Calibri" w:eastAsia="Calibri" w:hAnsi="Calibri"/>
          <w:sz w:val="21"/>
          <w:szCs w:val="21"/>
        </w:rPr>
        <w:t xml:space="preserve">The peak instantaneous intra-pack differential recorded across the six BMS-monitored cell thermistors (T1–T6) during the test was ΔT = 4°C, occurring during the charge phase and again during the post-charge rest phase — precisely at the ΔT ≥ 4°C threshold that triggers Condition B of the pump control logic. During both the discharge and charge phases, the module 1/2 cell location (T6) consistently ran hottest, while the module-1 cell locations (T1/T2) ran coolest, confirming that meaningful intra-pack gradients develop during active operation and that the BMS ΔT threshold is set at the level these gradients actually reach — i.e., the control logic is positioned to engage under real operating conditions rather than only in edge cases.</w:t>
      </w:r>
    </w:p>
    <w:p>
      <w:pPr>
        <w:spacing w:after="160" w:line="276"/>
      </w:pPr>
      <w:r>
        <w:rPr>
          <w:rFonts w:ascii="Calibri" w:cs="Calibri" w:eastAsia="Calibri" w:hAnsi="Calibri"/>
          <w:sz w:val="21"/>
          <w:szCs w:val="21"/>
        </w:rPr>
        <w:t xml:space="preserve">The overall absolute temperature range recorded across the six pack thermistors and battery ambient during the full test was 26°C to 43°C — consistent with the heat-rejection path described in Section 2.3, where the coolant homogenises pack temperature ahead of conduction through the casing wall.</w:t>
      </w:r>
    </w:p>
    <w:p/>
    <w:tbl>
      <w:tblPr>
        <w:tblW w:type="pct" w:w="100%"/>
        <w:tblBorders>
          <w:top w:val="none"/>
          <w:left w:val="none"/>
          <w:bottom w:val="none"/>
          <w:right w:val="none"/>
          <w:insideH w:val="none"/>
          <w:insideV w:val="none"/>
        </w:tblBorders>
      </w:tblPr>
      <w:tblGrid>
        <w:gridCol w:w="100"/>
      </w:tblGrid>
      <w:tr>
        <w:tc>
          <w:tcPr>
            <w:shd w:fill="B30000"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7.  Cycle-Life Capacity Retention (State of Health)</w:t>
            </w:r>
          </w:p>
        </w:tc>
      </w:tr>
    </w:tbl>
    <w:p>
      <w:pPr>
        <w:spacing w:after="160" w:line="276"/>
      </w:pPr>
      <w:r>
        <w:rPr>
          <w:rFonts w:ascii="Calibri" w:cs="Calibri" w:eastAsia="Calibri" w:hAnsi="Calibri"/>
          <w:sz w:val="21"/>
          <w:szCs w:val="21"/>
        </w:rPr>
        <w:t xml:space="preserve">Charge/discharge capacity and State-of-Health (SOH) were tracked over 818 recorded cycles to characterise long-term capacity fade under repeated cycling — a key input to the battery system's service-life and end-of-life safety margin assessment.</w:t>
      </w:r>
    </w:p>
    <w:p>
      <w:pPr>
        <w:spacing w:after="60" w:before="160"/>
        <w:jc w:val="center"/>
      </w:pPr>
      <w:r>
        <w:drawing>
          <wp:inline distT="0" distB="0" distL="0" distR="0">
            <wp:extent cx="5143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76525"/>
                    </a:xfrm>
                    <a:prstGeom prst="rect">
                      <a:avLst/>
                    </a:prstGeom>
                  </pic:spPr>
                </pic:pic>
              </a:graphicData>
            </a:graphic>
          </wp:inline>
        </w:drawing>
      </w:r>
    </w:p>
    <w:p>
      <w:pPr>
        <w:spacing w:after="260" w:before="80"/>
        <w:jc w:val="center"/>
      </w:pPr>
      <w:r>
        <w:rPr>
          <w:rFonts w:ascii="Calibri" w:cs="Calibri" w:eastAsia="Calibri" w:hAnsi="Calibri"/>
          <w:i/>
          <w:iCs/>
          <w:color w:val="555555"/>
          <w:sz w:val="19"/>
          <w:szCs w:val="19"/>
        </w:rPr>
        <w:t xml:space="preserve">Figure 4 — Charge capacity and SOH trend over 818 charge/discharge cycles.</w:t>
      </w:r>
    </w:p>
    <w:p>
      <w:pPr>
        <w:pStyle w:val="Heading2"/>
        <w:pBdr>
          <w:bottom w:val="single" w:color="B30000" w:sz="10" w:space="2"/>
        </w:pBdr>
        <w:spacing w:after="120" w:before="260"/>
      </w:pPr>
      <w:r>
        <w:rPr>
          <w:rFonts w:ascii="Calibri" w:cs="Calibri" w:eastAsia="Calibri" w:hAnsi="Calibri"/>
          <w:b/>
          <w:bCs/>
          <w:color w:val="B30000"/>
          <w:sz w:val="24"/>
          <w:szCs w:val="24"/>
        </w:rPr>
        <w:t xml:space="preserve">7.1  Summary — Cycle 1 vs. Cycle 818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shd w:fill="B30000"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Parameter</w:t>
            </w:r>
          </w:p>
        </w:tc>
        <w:tc>
          <w:tcPr>
            <w:tcW w:type="dxa" w:w="2000"/>
            <w:shd w:fill="B30000"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Cycle 1</w:t>
            </w:r>
          </w:p>
        </w:tc>
        <w:tc>
          <w:tcPr>
            <w:tcW w:type="dxa" w:w="2000"/>
            <w:shd w:fill="B30000"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Cycle 818</w:t>
            </w:r>
          </w:p>
        </w:tc>
        <w:tc>
          <w:tcPr>
            <w:tcW w:type="dxa" w:w="2000"/>
            <w:shd w:fill="B30000"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Change</w:t>
            </w:r>
          </w:p>
        </w:tc>
      </w:tr>
      <w:tr>
        <w:tc>
          <w:tcPr>
            <w:tcW w:type="dxa" w:w="3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Charge Capacity (Ah)</w:t>
            </w:r>
          </w:p>
        </w:tc>
        <w:tc>
          <w:tcPr>
            <w:tcW w:type="dxa" w:w="2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307.12</w:t>
            </w:r>
          </w:p>
        </w:tc>
        <w:tc>
          <w:tcPr>
            <w:tcW w:type="dxa" w:w="2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275.33</w:t>
            </w:r>
          </w:p>
        </w:tc>
        <w:tc>
          <w:tcPr>
            <w:tcW w:type="dxa" w:w="2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−10.35%</w:t>
            </w:r>
          </w:p>
        </w:tc>
      </w:tr>
      <w:tr>
        <w:tc>
          <w:tcPr>
            <w:tcW w:type="dxa" w:w="3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Charge SOH (%)</w:t>
            </w:r>
          </w:p>
        </w:tc>
        <w:tc>
          <w:tcPr>
            <w:tcW w:type="dxa" w:w="2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100.00</w:t>
            </w:r>
          </w:p>
        </w:tc>
        <w:tc>
          <w:tcPr>
            <w:tcW w:type="dxa" w:w="2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89.65</w:t>
            </w:r>
          </w:p>
        </w:tc>
        <w:tc>
          <w:tcPr>
            <w:tcW w:type="dxa" w:w="2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−10.35 pp</w:t>
            </w:r>
          </w:p>
        </w:tc>
      </w:tr>
      <w:tr>
        <w:tc>
          <w:tcPr>
            <w:tcW w:type="dxa" w:w="3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Discharge SOH (%)</w:t>
            </w:r>
          </w:p>
        </w:tc>
        <w:tc>
          <w:tcPr>
            <w:tcW w:type="dxa" w:w="2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99.99</w:t>
            </w:r>
          </w:p>
        </w:tc>
        <w:tc>
          <w:tcPr>
            <w:tcW w:type="dxa" w:w="2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89.63</w:t>
            </w:r>
          </w:p>
        </w:tc>
        <w:tc>
          <w:tcPr>
            <w:tcW w:type="dxa" w:w="2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−10.36 pp</w:t>
            </w:r>
          </w:p>
        </w:tc>
      </w:tr>
      <w:tr>
        <w:tc>
          <w:tcPr>
            <w:tcW w:type="dxa" w:w="3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Cell SOH (%)</w:t>
            </w:r>
          </w:p>
        </w:tc>
        <w:tc>
          <w:tcPr>
            <w:tcW w:type="dxa" w:w="2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100.00</w:t>
            </w:r>
          </w:p>
        </w:tc>
        <w:tc>
          <w:tcPr>
            <w:tcW w:type="dxa" w:w="2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93.81</w:t>
            </w:r>
          </w:p>
        </w:tc>
        <w:tc>
          <w:tcPr>
            <w:tcW w:type="dxa" w:w="2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−6.19 pp</w:t>
            </w:r>
          </w:p>
        </w:tc>
      </w:tr>
    </w:tbl>
    <w:p>
      <w:pPr>
        <w:spacing w:before="200"/>
      </w:pPr>
    </w:p>
    <w:p>
      <w:pPr>
        <w:spacing w:after="160" w:line="276"/>
      </w:pPr>
      <w:r>
        <w:rPr>
          <w:rFonts w:ascii="Calibri" w:cs="Calibri" w:eastAsia="Calibri" w:hAnsi="Calibri"/>
          <w:sz w:val="21"/>
          <w:szCs w:val="21"/>
        </w:rPr>
        <w:t xml:space="preserve">Capacity fade follows a steady, near-linear trend over the recorded cycle range with no step changes or anomalous discontinuities, indicating stable, predictable degradation behaviour under the tested cycling regime rather than an incipient fault condition. The “Cell SOH” metric (tracking the least-healthy monitored cell) fades more slowly than pack-level Chg/Dch SOH over the recorded range, which is expected where pack-level capacity is constrained by more than one cell's balance state.</w:t>
      </w:r>
    </w:p>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8.  Immersion Cooling Performance — Achieving Optimum Thermal Uniformity and Full Design-Life Cycling for Lithium-ion Cells</w:t>
            </w:r>
          </w:p>
        </w:tc>
      </w:tr>
    </w:tbl>
    <w:p>
      <w:pPr>
        <w:spacing w:after="160" w:line="276"/>
      </w:pPr>
      <w:r>
        <w:rPr>
          <w:rFonts w:ascii="Calibri" w:cs="Calibri" w:eastAsia="Calibri" w:hAnsi="Calibri"/>
          <w:sz w:val="21"/>
          <w:szCs w:val="21"/>
        </w:rPr>
        <w:t xml:space="preserve">This section draws together the SLD/control-logic design (Sections 2–4), the coolant properties (Section 5), and the measured test data (Sections 6–7) to demonstrate why the full-immersion cooling architecture achieves the thermal uniformity and controlled cycling environment that lithium-ion cells require to reach their intended service life.</w:t>
      </w:r>
    </w:p>
    <w:p>
      <w:pPr>
        <w:pStyle w:val="Heading2"/>
        <w:pBdr>
          <w:bottom w:val="single" w:color="0E7C86" w:sz="10" w:space="2"/>
        </w:pBdr>
        <w:spacing w:after="120" w:before="260"/>
      </w:pPr>
      <w:r>
        <w:rPr>
          <w:rFonts w:ascii="Calibri" w:cs="Calibri" w:eastAsia="Calibri" w:hAnsi="Calibri"/>
          <w:b/>
          <w:bCs/>
          <w:color w:val="0E7C86"/>
          <w:sz w:val="24"/>
          <w:szCs w:val="24"/>
        </w:rPr>
        <w:t xml:space="preserve">8.1  Direct-Contact Immersion Removes the Weak Links in Conventional Cooling</w:t>
      </w:r>
    </w:p>
    <w:p>
      <w:pPr>
        <w:spacing w:after="160" w:line="276"/>
      </w:pPr>
      <w:r>
        <w:rPr>
          <w:rFonts w:ascii="Calibri" w:cs="Calibri" w:eastAsia="Calibri" w:hAnsi="Calibri"/>
          <w:sz w:val="21"/>
          <w:szCs w:val="21"/>
        </w:rPr>
        <w:t xml:space="preserve">In a cold-plate design, heat must conduct from the cell body, across a contact interface (and any thermal-interface material), to a single cooled face — cells or regions farther from that face run measurably hotter. In an air-cooled design, the working fluid itself (air) has a heat-transfer coefficient roughly an order of magnitude lower than a liquid, and airflow shadowing readily creates hot pockets. Full immersion removes both weak links at once: the dielectric coolant is in direct contact with the entire wetted cell surface, so heat is drawn from the whole cell body rather than one face, and the fluid's own circulation (Section 2) continuously redistributes that heat across the pack.</w:t>
      </w:r>
    </w:p>
    <w:p>
      <w:pPr>
        <w:pStyle w:val="Heading2"/>
        <w:pBdr>
          <w:bottom w:val="single" w:color="0E7C86" w:sz="10" w:space="2"/>
        </w:pBdr>
        <w:spacing w:after="120" w:before="260"/>
      </w:pPr>
      <w:r>
        <w:rPr>
          <w:rFonts w:ascii="Calibri" w:cs="Calibri" w:eastAsia="Calibri" w:hAnsi="Calibri"/>
          <w:b/>
          <w:bCs/>
          <w:color w:val="0E7C86"/>
          <w:sz w:val="24"/>
          <w:szCs w:val="24"/>
        </w:rPr>
        <w:t xml:space="preserve">8.2  What the Measured Data Confirms</w:t>
      </w:r>
    </w:p>
    <w:p>
      <w:pPr>
        <w:pStyle w:val="ListParagraph"/>
        <w:numPr>
          <w:ilvl w:val="0"/>
          <w:numId w:val="2"/>
        </w:numPr>
        <w:spacing w:after="80"/>
      </w:pPr>
      <w:r>
        <w:rPr>
          <w:rFonts w:ascii="Calibri" w:cs="Calibri" w:eastAsia="Calibri" w:hAnsi="Calibri"/>
          <w:sz w:val="21"/>
          <w:szCs w:val="21"/>
        </w:rPr>
        <w:t xml:space="preserve">Even under the most thermally demanding phases (discharge and charge), the peak instantaneous intra-pack differential across the six BMS-monitored cell thermistors (T1–T6) was ΔT = 4°C (Section 6), remaining tightly bounded throughout the full duty cycle and confirming the coolant is effectively homogenising heat across the pack.</w:t>
      </w:r>
    </w:p>
    <w:p>
      <w:pPr>
        <w:pStyle w:val="ListParagraph"/>
        <w:numPr>
          <w:ilvl w:val="0"/>
          <w:numId w:val="2"/>
        </w:numPr>
        <w:spacing w:after="80"/>
      </w:pPr>
      <w:r>
        <w:rPr>
          <w:rFonts w:ascii="Calibri" w:cs="Calibri" w:eastAsia="Calibri" w:hAnsi="Calibri"/>
          <w:sz w:val="21"/>
          <w:szCs w:val="21"/>
        </w:rPr>
        <w:t xml:space="preserve">The BMS ΔT ≥ 4°C trigger (Section 4) is closely matched to the peak gradient observed in bench testing, engaging pump circulation exactly when a meaningful intra-pack gradient emerges — demonstrating that the immersion architecture, together with the control logic, actively bounds the thermal envelope across the full drive and fast-charge duty cycle.</w:t>
      </w:r>
    </w:p>
    <w:p>
      <w:pPr>
        <w:pStyle w:val="ListParagraph"/>
        <w:numPr>
          <w:ilvl w:val="0"/>
          <w:numId w:val="2"/>
        </w:numPr>
        <w:spacing w:after="80"/>
      </w:pPr>
      <w:r>
        <w:rPr>
          <w:rFonts w:ascii="Calibri" w:cs="Calibri" w:eastAsia="Calibri" w:hAnsi="Calibri"/>
          <w:sz w:val="21"/>
          <w:szCs w:val="21"/>
        </w:rPr>
        <w:t xml:space="preserve">No hot-spot thermistor location exceeded the pack's overall 26–43°C operating band recorded across the full rest/discharge/rest/charge/rest sequence — well inside the safe operating window for the cell chemistry.</w:t>
      </w:r>
    </w:p>
    <w:p>
      <w:pPr>
        <w:pStyle w:val="Heading2"/>
        <w:pBdr>
          <w:bottom w:val="single" w:color="0E7C86" w:sz="10" w:space="2"/>
        </w:pBdr>
        <w:spacing w:after="120" w:before="260"/>
      </w:pPr>
      <w:r>
        <w:rPr>
          <w:rFonts w:ascii="Calibri" w:cs="Calibri" w:eastAsia="Calibri" w:hAnsi="Calibri"/>
          <w:b/>
          <w:bCs/>
          <w:color w:val="0E7C86"/>
          <w:sz w:val="24"/>
          <w:szCs w:val="24"/>
        </w:rPr>
        <w:t xml:space="preserve">8.3  Qualitative Comparison Against Alternative Cooling Architectures</w:t>
      </w:r>
    </w:p>
    <w:p>
      <w:pPr>
        <w:spacing w:after="160" w:line="276"/>
      </w:pPr>
      <w:r>
        <w:rPr>
          <w:rFonts w:ascii="Calibri" w:cs="Calibri" w:eastAsia="Calibri" w:hAnsi="Calibri"/>
          <w:sz w:val="21"/>
          <w:szCs w:val="21"/>
        </w:rPr>
        <w:t xml:space="preserve">The comparison below is a general, qualitative characterisation of cooling-architecture behaviour for context; it is not a side-by-side test result — only the immersion-cooled configuration in Sections 6–7 has been bench-validated for this system.</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2200"/>
        <w:gridCol w:w="2000"/>
      </w:tblGrid>
      <w:tr>
        <w:trPr>
          <w:tblHeader/>
        </w:trPr>
        <w:tc>
          <w:tcPr>
            <w:tcW w:type="dxa" w:w="1900"/>
            <w:shd w:fill="0E7C86"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Cooling Architecture</w:t>
            </w:r>
          </w:p>
        </w:tc>
        <w:tc>
          <w:tcPr>
            <w:tcW w:type="dxa" w:w="2200"/>
            <w:shd w:fill="0E7C86"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Contact Mode</w:t>
            </w:r>
          </w:p>
        </w:tc>
        <w:tc>
          <w:tcPr>
            <w:tcW w:type="dxa" w:w="2200"/>
            <w:shd w:fill="0E7C86"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Typical Cell-to-Cell ΔT Tendency</w:t>
            </w:r>
          </w:p>
        </w:tc>
        <w:tc>
          <w:tcPr>
            <w:tcW w:type="dxa" w:w="2200"/>
            <w:shd w:fill="0E7C86"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Hot-Spot / Fire-Path Risk</w:t>
            </w:r>
          </w:p>
        </w:tc>
        <w:tc>
          <w:tcPr>
            <w:tcW w:type="dxa" w:w="2000"/>
            <w:shd w:fill="0E7C86"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Heat-Extraction Effectiveness</w:t>
            </w:r>
          </w:p>
        </w:tc>
      </w:tr>
      <w:tr>
        <w:tc>
          <w:tcPr>
            <w:tcW w:type="dxa" w:w="1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Full Immersion (this system)</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Fluid wets entire cell surface directly</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Low — measured max ΔT = 4°C across monitored cell thermistors</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Low — no dry contact points; fluid also suppresses/delays thermal-runaway propagation</w:t>
            </w:r>
          </w:p>
        </w:tc>
        <w:tc>
          <w:tcPr>
            <w:tcW w:type="dxa" w:w="2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High — fluid draws heat from the whole cell body, not one face</w:t>
            </w:r>
          </w:p>
        </w:tc>
      </w:tr>
      <w:tr>
        <w:tc>
          <w:tcPr>
            <w:tcW w:type="dxa" w:w="19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Cold Plate (typical)</w:t>
            </w:r>
          </w:p>
        </w:tc>
        <w:tc>
          <w:tcPr>
            <w:tcW w:type="dxa" w:w="2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Contact at one face only; conduction through interface/TIM</w:t>
            </w:r>
          </w:p>
        </w:tc>
        <w:tc>
          <w:tcPr>
            <w:tcW w:type="dxa" w:w="2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Moderate — conduction path length and TIM quality govern gradient</w:t>
            </w:r>
          </w:p>
        </w:tc>
        <w:tc>
          <w:tcPr>
            <w:tcW w:type="dxa" w:w="2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Moderate — cells farthest from plate run hotter</w:t>
            </w:r>
          </w:p>
        </w:tc>
        <w:tc>
          <w:tcPr>
            <w:tcW w:type="dxa" w:w="20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Moderate — heat must first conduct to the contact face</w:t>
            </w:r>
          </w:p>
        </w:tc>
      </w:tr>
      <w:tr>
        <w:tc>
          <w:tcPr>
            <w:tcW w:type="dxa" w:w="19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Forced/Natural Air (typical)</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Convective contact only, indirect</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High — air has far lower heat capacity/conductivity than liquid</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Higher — airflow shadowing creates hot pockets</w:t>
            </w:r>
          </w:p>
        </w:tc>
        <w:tc>
          <w:tcPr>
            <w:tcW w:type="dxa" w:w="20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Lower — weakest heat-transfer coefficient of the three</w:t>
            </w:r>
          </w:p>
        </w:tc>
      </w:tr>
    </w:tbl>
    <w:p>
      <w:pPr>
        <w:spacing w:before="200"/>
      </w:pPr>
    </w:p>
    <w:p>
      <w:pPr>
        <w:pStyle w:val="Heading2"/>
        <w:pBdr>
          <w:bottom w:val="single" w:color="0E7C86" w:sz="10" w:space="2"/>
        </w:pBdr>
        <w:spacing w:after="120" w:before="260"/>
      </w:pPr>
      <w:r>
        <w:rPr>
          <w:rFonts w:ascii="Calibri" w:cs="Calibri" w:eastAsia="Calibri" w:hAnsi="Calibri"/>
          <w:b/>
          <w:bCs/>
          <w:color w:val="0E7C86"/>
          <w:sz w:val="24"/>
          <w:szCs w:val="24"/>
        </w:rPr>
        <w:t xml:space="preserve">8.4  Cycle-Life Outcome Consistent With the Desired Service Life</w:t>
      </w:r>
    </w:p>
    <w:p>
      <w:pPr>
        <w:spacing w:after="160" w:line="276"/>
      </w:pPr>
      <w:r>
        <w:rPr>
          <w:rFonts w:ascii="Calibri" w:cs="Calibri" w:eastAsia="Calibri" w:hAnsi="Calibri"/>
          <w:sz w:val="21"/>
          <w:szCs w:val="21"/>
        </w:rPr>
        <w:t xml:space="preserve">Over the 818 recorded cycles (Section 7), charge capacity fell 10.35% and Charge SOH fell from 100% to 89.65% — a steady, near-linear trend with no step changes or accelerated-fade signatures that would indicate thermally-driven degradation. On a simple linear extrapolation of this observed rate (i.e. assuming no change in fade behaviour beyond the tested range), the pack would be projected to remain above an 80% SOH end-of-life threshold for approximately 1,580 cycles — well beyond the 818 cycles actually exercised.</w:t>
      </w:r>
    </w:p>
    <w:p>
      <w:pPr>
        <w:spacing w:after="160" w:line="276"/>
      </w:pPr>
      <w:r>
        <w:rPr>
          <w:rFonts w:ascii="Calibri" w:cs="Calibri" w:eastAsia="Calibri" w:hAnsi="Calibri"/>
          <w:sz w:val="21"/>
          <w:szCs w:val="21"/>
        </w:rPr>
        <w:t xml:space="preserve">This projection is indicative only: real cells typically show a more concave (accelerating) fade curve approaching end-of-life rather than a straight line, so it should be treated as an order-of-magnitude indication rather than a guaranteed cycle count, pending extended cycling to validate the true end-of-life knee point. Within the tested range, however, the data shows no evidence that the immersion-cooled thermal environment is accelerating degradation — which is the relevant conclusion for this submission: the cooling architecture is not the limiting factor on cycle life.</w:t>
      </w:r>
    </w:p>
    <w:p>
      <w:pPr>
        <w:pStyle w:val="Heading2"/>
        <w:pBdr>
          <w:bottom w:val="single" w:color="0E7C86" w:sz="10" w:space="2"/>
        </w:pBdr>
        <w:spacing w:after="120" w:before="260"/>
      </w:pPr>
      <w:r>
        <w:rPr>
          <w:rFonts w:ascii="Calibri" w:cs="Calibri" w:eastAsia="Calibri" w:hAnsi="Calibri"/>
          <w:b/>
          <w:bCs/>
          <w:color w:val="0E7C86"/>
          <w:sz w:val="24"/>
          <w:szCs w:val="24"/>
        </w:rPr>
        <w:t xml:space="preserve">8.5  Summary Position</w:t>
      </w:r>
    </w:p>
    <w:p>
      <w:pPr>
        <w:spacing w:after="160" w:line="276"/>
      </w:pPr>
      <w:r>
        <w:rPr>
          <w:rFonts w:ascii="Calibri" w:cs="Calibri" w:eastAsia="Calibri" w:hAnsi="Calibri"/>
          <w:sz w:val="21"/>
          <w:szCs w:val="21"/>
        </w:rPr>
        <w:t xml:space="preserve">Taken together, Sections 6–8 show that the full-immersion architecture keeps intra-pack thermal gradients small and actively bounded, keeps the coolant/casing/ambient heat-rejection path (Section 2.3) effective across the full duty cycle, and is consistent with — rather than a constraint on — the cell's designed cycle life. This is the basis on which VFCPL considers the cooling architecture to deliver the level of thermal control a lithium-ion marine BESS requires to reach its intended operational life.</w:t>
      </w:r>
    </w:p>
    <w:p/>
    <w:tbl>
      <w:tblPr>
        <w:tblW w:type="pct" w:w="100%"/>
        <w:tblBorders>
          <w:top w:val="none"/>
          <w:left w:val="none"/>
          <w:bottom w:val="none"/>
          <w:right w:val="none"/>
          <w:insideH w:val="none"/>
          <w:insideV w:val="none"/>
        </w:tblBorders>
      </w:tblPr>
      <w:tblGrid>
        <w:gridCol w:w="100"/>
      </w:tblGrid>
      <w:tr>
        <w:tc>
          <w:tcPr>
            <w:shd w:fill="14314B"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9.  Compliance Cross-Reference</w:t>
            </w:r>
          </w:p>
        </w:tc>
      </w:tr>
    </w:tbl>
    <w:p>
      <w:pPr>
        <w:spacing w:after="160" w:line="276"/>
      </w:pPr>
      <w:r>
        <w:rPr>
          <w:rFonts w:ascii="Calibri" w:cs="Calibri" w:eastAsia="Calibri" w:hAnsi="Calibri"/>
          <w:sz w:val="21"/>
          <w:szCs w:val="21"/>
        </w:rPr>
        <w:t xml:space="preserve">The table below maps the technical content of this submission against the applicable standards framework already established for the VFCPL-MEP-001 type-approval programme. It is intended as a navigation aid alongside the full compliance tracker workbook and requirement matrix submitted separately; it does not restate every individual clause.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00"/>
      </w:tblGrid>
      <w:tr>
        <w:trPr>
          <w:tblHeader/>
        </w:trPr>
        <w:tc>
          <w:tcPr>
            <w:tcW w:type="dxa" w:w="2600"/>
            <w:shd w:fill="14314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Compliance Area</w:t>
            </w:r>
          </w:p>
        </w:tc>
        <w:tc>
          <w:tcPr>
            <w:tcW w:type="dxa" w:w="2200"/>
            <w:shd w:fill="14314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Governing Standard(s)</w:t>
            </w:r>
          </w:p>
        </w:tc>
        <w:tc>
          <w:tcPr>
            <w:tcW w:type="dxa" w:w="4500"/>
            <w:shd w:fill="14314B" w:color="auto"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Cross-Reference in This Document / Programme</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Battery system safety (cell/system electrical &amp; environmental tests)</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62619, IEC 62620</w:t>
            </w:r>
          </w:p>
        </w:tc>
        <w:tc>
          <w:tcPr>
            <w:tcW w:type="dxa" w:w="45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Referenced in the wider CPSS compliance tracker (Batteries / BMS sheets); cycle-life data in Section 7 supports capacity/SOH-related test items</w:t>
            </w:r>
          </w:p>
        </w:tc>
      </w:tr>
      <w:tr>
        <w:tc>
          <w:tcPr>
            <w:tcW w:type="dxa" w:w="2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Hazardous-area / ignition-source rating</w:t>
            </w:r>
          </w:p>
        </w:tc>
        <w:tc>
          <w:tcPr>
            <w:tcW w:type="dxa" w:w="2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60079 (Ex equipment, Zone 2)</w:t>
            </w:r>
          </w:p>
        </w:tc>
        <w:tc>
          <w:tcPr>
            <w:tcW w:type="dxa" w:w="45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Coolant ATEX rating (Section 5.4) is directly relevant where the immersion tank interfaces with a classified space</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Insulating liquid — synthetic ester</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61099:2010 / IS 16081:2013</w:t>
            </w:r>
          </w:p>
        </w:tc>
        <w:tc>
          <w:tcPr>
            <w:tcW w:type="dxa" w:w="45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Section 5.2 — full typical-properties table against IEC 61099/IS 16081 limits</w:t>
            </w:r>
          </w:p>
        </w:tc>
      </w:tr>
      <w:tr>
        <w:tc>
          <w:tcPr>
            <w:tcW w:type="dxa" w:w="2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Marine equipment qualification (shock, vibration, EMC, climatic, salt mist, inclination, etc.)</w:t>
            </w:r>
          </w:p>
        </w:tc>
        <w:tc>
          <w:tcPr>
            <w:tcW w:type="dxa" w:w="2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IACS UR E10 (Rev.10, Aug 2024)</w:t>
            </w:r>
          </w:p>
        </w:tc>
        <w:tc>
          <w:tcPr>
            <w:tcW w:type="dxa" w:w="45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Addressed in the parallel IACS UR E10 test matrix prepared for the battery/BMS system; coolant compatibility test programme referenced separately</w:t>
            </w:r>
          </w:p>
        </w:tc>
      </w:tr>
      <w:tr>
        <w:tc>
          <w:tcPr>
            <w:tcW w:type="dxa" w:w="26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Fire safety / less-flammable liquid provisions</w:t>
            </w:r>
          </w:p>
        </w:tc>
        <w:tc>
          <w:tcPr>
            <w:tcW w:type="dxa" w:w="22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FSS Code, SOLAS II-2 (as referenced in IRS Guidelines)</w:t>
            </w:r>
          </w:p>
        </w:tc>
        <w:tc>
          <w:tcPr>
            <w:tcW w:type="dxa" w:w="4500"/>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Section 5.1 — K-class fire performance data (flash/fire point, calorific value, UL 340 / FM 6933)</w:t>
            </w:r>
          </w:p>
        </w:tc>
      </w:tr>
      <w:tr>
        <w:tc>
          <w:tcPr>
            <w:tcW w:type="dxa" w:w="26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Battery space / vessel installation requirements</w:t>
            </w:r>
          </w:p>
        </w:tc>
        <w:tc>
          <w:tcPr>
            <w:tcW w:type="dxa" w:w="22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IRS Guidelines on Battery Powered Vessels (GL Rev.2)</w:t>
            </w:r>
          </w:p>
        </w:tc>
        <w:tc>
          <w:tcPr>
            <w:tcW w:type="dxa" w:w="4500"/>
            <w:shd w:fill="F7F9FB" w:color="auto"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Addressed in the Battery Space / Vessel Installation sheet of the compliance tracker; cooling architecture (Section 2–4) is the primary technical input</w:t>
            </w:r>
          </w:p>
        </w:tc>
      </w:tr>
    </w:tbl>
    <w:p>
      <w:pPr>
        <w:spacing w:before="200"/>
      </w:pPr>
    </w:p>
    <w:p/>
    <w:tbl>
      <w:tblPr>
        <w:tblW w:type="pct" w:w="100%"/>
        <w:tblBorders>
          <w:top w:val="none"/>
          <w:left w:val="none"/>
          <w:bottom w:val="none"/>
          <w:right w:val="none"/>
          <w:insideH w:val="none"/>
          <w:insideV w:val="none"/>
        </w:tblBorders>
      </w:tblPr>
      <w:tblGrid>
        <w:gridCol w:w="100"/>
      </w:tblGrid>
      <w:tr>
        <w:tc>
          <w:tcPr>
            <w:shd w:fill="2EA043"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10.  Conclusion &amp; Recommendation</w:t>
            </w:r>
          </w:p>
        </w:tc>
      </w:tr>
    </w:tbl>
    <w:p>
      <w:pPr>
        <w:spacing w:after="160" w:line="276"/>
      </w:pPr>
      <w:r>
        <w:rPr>
          <w:rFonts w:ascii="Calibri" w:cs="Calibri" w:eastAsia="Calibri" w:hAnsi="Calibri"/>
          <w:sz w:val="21"/>
          <w:szCs w:val="21"/>
        </w:rPr>
        <w:t xml:space="preserve">The immersion-cooled BESS cooling system described in this submission uses a single-loop, self-circulating dielectric coolant architecture with a clearly defined, dual-condition BMS pump control logic (Section 4). Bench validation data demonstrates:</w:t>
      </w:r>
    </w:p>
    <w:p>
      <w:pPr>
        <w:pStyle w:val="ListParagraph"/>
        <w:numPr>
          <w:ilvl w:val="0"/>
          <w:numId w:val="2"/>
        </w:numPr>
        <w:spacing w:after="80"/>
      </w:pPr>
      <w:r>
        <w:rPr>
          <w:rFonts w:ascii="Calibri" w:cs="Calibri" w:eastAsia="Calibri" w:hAnsi="Calibri"/>
          <w:sz w:val="21"/>
          <w:szCs w:val="21"/>
        </w:rPr>
        <w:t xml:space="preserve">Intra-pack thermal gradients of up to 4°C develop under real discharge/charge operation — precisely the level at which the ΔT ≥ 4°C pump-activation threshold is designed to respond, confirming the control logic is correctly scoped to actual operating conditions.</w:t>
      </w:r>
    </w:p>
    <w:p>
      <w:pPr>
        <w:pStyle w:val="ListParagraph"/>
        <w:numPr>
          <w:ilvl w:val="0"/>
          <w:numId w:val="2"/>
        </w:numPr>
        <w:spacing w:after="80"/>
      </w:pPr>
      <w:r>
        <w:rPr>
          <w:rFonts w:ascii="Calibri" w:cs="Calibri" w:eastAsia="Calibri" w:hAnsi="Calibri"/>
          <w:sz w:val="21"/>
          <w:szCs w:val="21"/>
        </w:rPr>
        <w:t xml:space="preserve">The coolant fluid meets IEC 61099:2010 / IS 16081:2013 K-class insulating-liquid requirements, with fire, dielectric, and environmental performance suitable for a sealed marine immersion application.</w:t>
      </w:r>
    </w:p>
    <w:p>
      <w:pPr>
        <w:pStyle w:val="ListParagraph"/>
        <w:numPr>
          <w:ilvl w:val="0"/>
          <w:numId w:val="2"/>
        </w:numPr>
        <w:spacing w:after="80"/>
      </w:pPr>
      <w:r>
        <w:rPr>
          <w:rFonts w:ascii="Calibri" w:cs="Calibri" w:eastAsia="Calibri" w:hAnsi="Calibri"/>
          <w:sz w:val="21"/>
          <w:szCs w:val="21"/>
        </w:rPr>
        <w:t xml:space="preserve">Capacity retention over 818 cycles shows stable, predictable fade behaviour with no anomalous degradation, supporting the assumed service-life and safety margins used elsewhere in the CPSS type-approval dossier.</w:t>
      </w:r>
    </w:p>
    <w:p>
      <w:pPr>
        <w:pStyle w:val="ListParagraph"/>
        <w:numPr>
          <w:ilvl w:val="0"/>
          <w:numId w:val="2"/>
        </w:numPr>
        <w:spacing w:after="80"/>
      </w:pPr>
      <w:r>
        <w:rPr>
          <w:rFonts w:ascii="Calibri" w:cs="Calibri" w:eastAsia="Calibri" w:hAnsi="Calibri"/>
          <w:sz w:val="21"/>
          <w:szCs w:val="21"/>
        </w:rPr>
        <w:t xml:space="preserve">The direct-contact immersion architecture (Section 8) achieves the thermal uniformity and bounded ΔT envelope that lithium-ion cells require to reach their intended cycle life, with no evidence in the tested range that the cooling environment is a limiting factor on degradation.</w:t>
      </w:r>
    </w:p>
    <w:p>
      <w:pPr>
        <w:spacing w:after="160" w:line="276"/>
      </w:pPr>
      <w:r>
        <w:rPr>
          <w:rFonts w:ascii="Calibri" w:cs="Calibri" w:eastAsia="Calibri" w:hAnsi="Calibri"/>
          <w:sz w:val="21"/>
          <w:szCs w:val="21"/>
        </w:rPr>
        <w:t xml:space="preserve">On this basis, VFCPL respectfully submits that the cooling system design, control logic, and supporting performance data presented in this document are suitable for IRS review as part of the type-approval and vessel installation approval process for VFCPL-MEP-001, and requests IRS's review and comments.</w:t>
      </w:r>
    </w:p>
    <w:p>
      <w:pPr>
        <w:spacing w:before="300"/>
      </w:pPr>
    </w:p>
    <w:p>
      <w:pPr>
        <w:spacing w:after="160" w:line="276"/>
      </w:pPr>
      <w:r>
        <w:rPr>
          <w:rFonts w:ascii="Calibri" w:cs="Calibri" w:eastAsia="Calibri" w:hAnsi="Calibri"/>
          <w:b/>
          <w:bCs/>
          <w:sz w:val="21"/>
          <w:szCs w:val="21"/>
        </w:rPr>
        <w:t xml:space="preserve">This document should be read together with:</w:t>
      </w:r>
    </w:p>
    <w:p>
      <w:pPr>
        <w:pStyle w:val="ListParagraph"/>
        <w:numPr>
          <w:ilvl w:val="0"/>
          <w:numId w:val="2"/>
        </w:numPr>
        <w:spacing w:after="80"/>
      </w:pPr>
      <w:r>
        <w:rPr>
          <w:rFonts w:ascii="Calibri" w:cs="Calibri" w:eastAsia="Calibri" w:hAnsi="Calibri"/>
          <w:sz w:val="21"/>
          <w:szCs w:val="21"/>
        </w:rPr>
        <w:t xml:space="preserve">The CPSS compliance tracker workbook (Batteries, BMS, Cooling System, Battery Space/Vessel Installation, Documentation, Tests &amp; Certification sheets)</w:t>
      </w:r>
    </w:p>
    <w:p>
      <w:pPr>
        <w:pStyle w:val="ListParagraph"/>
        <w:numPr>
          <w:ilvl w:val="0"/>
          <w:numId w:val="2"/>
        </w:numPr>
        <w:spacing w:after="80"/>
      </w:pPr>
      <w:r>
        <w:rPr>
          <w:rFonts w:ascii="Calibri" w:cs="Calibri" w:eastAsia="Calibri" w:hAnsi="Calibri"/>
          <w:sz w:val="21"/>
          <w:szCs w:val="21"/>
        </w:rPr>
        <w:t xml:space="preserve">The requirement matrix with responsibility (P/S) markers across the programme parties</w:t>
      </w:r>
    </w:p>
    <w:p>
      <w:pPr>
        <w:pStyle w:val="ListParagraph"/>
        <w:numPr>
          <w:ilvl w:val="0"/>
          <w:numId w:val="2"/>
        </w:numPr>
        <w:spacing w:after="80"/>
      </w:pPr>
      <w:r>
        <w:rPr>
          <w:rFonts w:ascii="Calibri" w:cs="Calibri" w:eastAsia="Calibri" w:hAnsi="Calibri"/>
          <w:sz w:val="21"/>
          <w:szCs w:val="21"/>
        </w:rPr>
        <w:t xml:space="preserve">The IACS UR E10 test matrix prepared for the battery/BMS system</w:t>
      </w:r>
    </w:p>
    <w:p>
      <w:pPr>
        <w:pStyle w:val="ListParagraph"/>
        <w:numPr>
          <w:ilvl w:val="0"/>
          <w:numId w:val="2"/>
        </w:numPr>
        <w:spacing w:after="80"/>
      </w:pPr>
      <w:r>
        <w:rPr>
          <w:rFonts w:ascii="Calibri" w:cs="Calibri" w:eastAsia="Calibri" w:hAnsi="Calibri"/>
          <w:sz w:val="21"/>
          <w:szCs w:val="21"/>
        </w:rPr>
        <w:t xml:space="preserve">Supplier no-objection letters, submitted separately as attachments per standard programme correspondence practice</w:t>
      </w:r>
    </w:p>
    <w:p>
      <w:r>
        <w:br w:type="page"/>
      </w:r>
    </w:p>
    <w:tbl>
      <w:tblPr>
        <w:tblW w:type="pct" w:w="100%"/>
        <w:tblBorders>
          <w:top w:val="none"/>
          <w:left w:val="none"/>
          <w:bottom w:val="none"/>
          <w:right w:val="none"/>
          <w:insideH w:val="none"/>
          <w:insideV w:val="none"/>
        </w:tblBorders>
      </w:tblPr>
      <w:tblGrid>
        <w:gridCol w:w="100"/>
      </w:tblGrid>
      <w:tr>
        <w:tc>
          <w:tcPr>
            <w:shd w:fill="14314B"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Appendices — Supporting Test Reports &amp; Certifications</w:t>
            </w:r>
          </w:p>
        </w:tc>
      </w:tr>
    </w:tbl>
    <w:p>
      <w:pPr>
        <w:spacing w:after="160" w:line="276"/>
      </w:pPr>
      <w:r>
        <w:rPr>
          <w:rFonts w:ascii="Calibri" w:cs="Calibri" w:eastAsia="Calibri" w:hAnsi="Calibri"/>
          <w:sz w:val="21"/>
          <w:szCs w:val="21"/>
        </w:rPr>
        <w:t xml:space="preserve">The following pages reproduce, in full, the independent laboratory test reports and certification documents underlying the technical data presented in Section 5. These are provided as supporting evidence for IRS review; the index and page references are given in Section 5.5 of the main report.</w:t>
      </w:r>
    </w:p>
    <w:p>
      <w:r>
        <w:br w:type="page"/>
      </w:r>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Appendix A — IEC 61099 / IS 16081 Independent Type Test Report</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Source Document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Siemens Energy Global GmbH &amp; Co. KG — Test Report ML138-23 (04-Jul-2023)</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Standard / Test Method</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61099:2010 / IS 16081:2013 — full property panel</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Relevance to This Submission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Independent verification of the typical properties table in Section 5.2</w:t>
            </w:r>
          </w:p>
        </w:tc>
      </w:tr>
    </w:tbl>
    <w:p>
      <w:pPr>
        <w:spacing w:before="300"/>
      </w:pPr>
      <w:r>
        <w:rPr>
          <w:rFonts w:ascii="Calibri" w:cs="Calibri" w:eastAsia="Calibri" w:hAnsi="Calibri"/>
          <w:i/>
          <w:iCs/>
          <w:color w:val="555555"/>
          <w:sz w:val="19"/>
          <w:szCs w:val="19"/>
        </w:rPr>
        <w:t xml:space="preserve">The pages of the original report follow, reproduced in full.</w:t>
      </w:r>
    </w:p>
    <w:p>
      <w:r>
        <w:br w:type="page"/>
      </w:r>
    </w:p>
    <w:p>
      <w:pPr>
        <w:spacing w:after="0" w:before="0"/>
        <w:jc w:val="center"/>
      </w:pPr>
      <w:r>
        <w:drawing>
          <wp:inline distT="0" distB="0" distL="0" distR="0">
            <wp:extent cx="5715000" cy="808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8086725"/>
                    </a:xfrm>
                    <a:prstGeom prst="rect">
                      <a:avLst/>
                    </a:prstGeom>
                  </pic:spPr>
                </pic:pic>
              </a:graphicData>
            </a:graphic>
          </wp:inline>
        </w:drawing>
      </w:r>
    </w:p>
    <w:p>
      <w:r>
        <w:br w:type="page"/>
      </w:r>
    </w:p>
    <w:p>
      <w:pPr>
        <w:spacing w:after="0" w:before="0"/>
        <w:jc w:val="center"/>
      </w:pPr>
      <w:r>
        <w:drawing>
          <wp:inline distT="0" distB="0" distL="0" distR="0">
            <wp:extent cx="5715000" cy="808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8086725"/>
                    </a:xfrm>
                    <a:prstGeom prst="rect">
                      <a:avLst/>
                    </a:prstGeom>
                  </pic:spPr>
                </pic:pic>
              </a:graphicData>
            </a:graphic>
          </wp:inline>
        </w:drawing>
      </w:r>
    </w:p>
    <w:p>
      <w:r>
        <w:br w:type="page"/>
      </w:r>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Appendix B — UL 340 Certificate of Compliance</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Source Document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UL Solutions — Certificate UL-US-2409672-0</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Standard / Test Method</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UL 340 (6th Ed.) — Dielectric Mediums (EOUV)</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Relevance to This Submission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Supports the fire-safety certification referenced in Sections 5.1 and 5.4</w:t>
            </w:r>
          </w:p>
        </w:tc>
      </w:tr>
    </w:tbl>
    <w:p>
      <w:pPr>
        <w:spacing w:before="300"/>
      </w:pPr>
      <w:r>
        <w:rPr>
          <w:rFonts w:ascii="Calibri" w:cs="Calibri" w:eastAsia="Calibri" w:hAnsi="Calibri"/>
          <w:i/>
          <w:iCs/>
          <w:color w:val="555555"/>
          <w:sz w:val="19"/>
          <w:szCs w:val="19"/>
        </w:rPr>
        <w:t xml:space="preserve">The pages of the original report follow, reproduced in full.</w:t>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7391400"/>
                    </a:xfrm>
                    <a:prstGeom prst="rect">
                      <a:avLst/>
                    </a:prstGeom>
                  </pic:spPr>
                </pic:pic>
              </a:graphicData>
            </a:graphic>
          </wp:inline>
        </w:drawing>
      </w:r>
    </w:p>
    <w:p>
      <w:r>
        <w:br w:type="page"/>
      </w:r>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Appendix C — FM Approval — Certificate of Compliance</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Source Document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FM Approvals — Approval Identification PR465843 (08-Mar-2024)</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Standard / Test Method</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FM Approval Standard, Class 6933</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Relevance to This Submission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Supports the fire-safety certification referenced in Sections 5.1 and 5.4</w:t>
            </w:r>
          </w:p>
        </w:tc>
      </w:tr>
    </w:tbl>
    <w:p>
      <w:pPr>
        <w:spacing w:before="300"/>
      </w:pPr>
      <w:r>
        <w:rPr>
          <w:rFonts w:ascii="Calibri" w:cs="Calibri" w:eastAsia="Calibri" w:hAnsi="Calibri"/>
          <w:i/>
          <w:iCs/>
          <w:color w:val="555555"/>
          <w:sz w:val="19"/>
          <w:szCs w:val="19"/>
        </w:rPr>
        <w:t xml:space="preserve">The pages of the original report follow, reproduced in full.</w:t>
      </w:r>
    </w:p>
    <w:p>
      <w:r>
        <w:br w:type="page"/>
      </w:r>
    </w:p>
    <w:p>
      <w:pPr>
        <w:spacing w:after="0" w:before="0"/>
        <w:jc w:val="center"/>
      </w:pPr>
      <w:r>
        <w:drawing>
          <wp:inline distT="0" distB="0" distL="0" distR="0">
            <wp:extent cx="5715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419600"/>
                    </a:xfrm>
                    <a:prstGeom prst="rect">
                      <a:avLst/>
                    </a:prstGeom>
                  </pic:spPr>
                </pic:pic>
              </a:graphicData>
            </a:graphic>
          </wp:inline>
        </w:drawing>
      </w:r>
    </w:p>
    <w:p>
      <w:r>
        <w:br w:type="page"/>
      </w:r>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Appendix D — Net Calorific Value Test Report</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Source Document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Intertek India Private Limited</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Standard / Test Method</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ASTM D 240</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Relevance to This Submission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Supports the Net Calorific Value figure quoted in Sections 5.1 and 5.2</w:t>
            </w:r>
          </w:p>
        </w:tc>
      </w:tr>
    </w:tbl>
    <w:p>
      <w:pPr>
        <w:spacing w:before="300"/>
      </w:pPr>
      <w:r>
        <w:rPr>
          <w:rFonts w:ascii="Calibri" w:cs="Calibri" w:eastAsia="Calibri" w:hAnsi="Calibri"/>
          <w:i/>
          <w:iCs/>
          <w:color w:val="555555"/>
          <w:sz w:val="19"/>
          <w:szCs w:val="19"/>
        </w:rPr>
        <w:t xml:space="preserve">The pages of the original report follow, reproduced in full.</w:t>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7391400"/>
                    </a:xfrm>
                    <a:prstGeom prst="rect">
                      <a:avLst/>
                    </a:prstGeom>
                  </pic:spPr>
                </pic:pic>
              </a:graphicData>
            </a:graphic>
          </wp:inline>
        </w:drawing>
      </w:r>
    </w:p>
    <w:p>
      <w:r>
        <w:br w:type="page"/>
      </w:r>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Appendix E — Fire Behaviour Test Report (EN 45545)</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Source Document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Ignito Labs Private Limited — Test Report I231211009-1 (22-Dec-2023)</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Standard / Test Method</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EN 45545 (railway fire behaviour test series)</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Relevance to This Submission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Supplementary fire-behaviour characterisation beyond the marine/K-class data in Section 5.1</w:t>
            </w:r>
          </w:p>
        </w:tc>
      </w:tr>
    </w:tbl>
    <w:p>
      <w:pPr>
        <w:spacing w:before="300"/>
      </w:pPr>
      <w:r>
        <w:rPr>
          <w:rFonts w:ascii="Calibri" w:cs="Calibri" w:eastAsia="Calibri" w:hAnsi="Calibri"/>
          <w:i/>
          <w:iCs/>
          <w:color w:val="555555"/>
          <w:sz w:val="19"/>
          <w:szCs w:val="19"/>
        </w:rPr>
        <w:t xml:space="preserve">The pages of the original report follow, reproduced in full.</w:t>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8077200"/>
                    </a:xfrm>
                    <a:prstGeom prst="rect">
                      <a:avLst/>
                    </a:prstGeom>
                  </pic:spPr>
                </pic:pic>
              </a:graphicData>
            </a:graphic>
          </wp:inline>
        </w:drawing>
      </w:r>
    </w:p>
    <w:p>
      <w:r>
        <w:br w:type="page"/>
      </w:r>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Appendix F — ERDA Test Report — Transol Synth 100</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Source Document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Electrical Research and Development Association (ERDA), Vadodara</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Standard / Test Method</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IEC 61099 / IS 16081 property verification</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Relevance to This Submission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Independent property verification supporting Section 5.2</w:t>
            </w:r>
          </w:p>
        </w:tc>
      </w:tr>
    </w:tbl>
    <w:p>
      <w:pPr>
        <w:spacing w:before="300"/>
      </w:pPr>
      <w:r>
        <w:rPr>
          <w:rFonts w:ascii="Calibri" w:cs="Calibri" w:eastAsia="Calibri" w:hAnsi="Calibri"/>
          <w:i/>
          <w:iCs/>
          <w:color w:val="555555"/>
          <w:sz w:val="19"/>
          <w:szCs w:val="19"/>
        </w:rPr>
        <w:t xml:space="preserve">The pages of the original report follow, reproduced in full.</w:t>
      </w:r>
    </w:p>
    <w:p>
      <w:r>
        <w:br w:type="page"/>
      </w:r>
    </w:p>
    <w:p>
      <w:pPr>
        <w:spacing w:after="0" w:before="0"/>
        <w:jc w:val="center"/>
      </w:pPr>
      <w:r>
        <w:drawing>
          <wp:inline distT="0" distB="0" distL="0" distR="0">
            <wp:extent cx="5715000" cy="808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8086725"/>
                    </a:xfrm>
                    <a:prstGeom prst="rect">
                      <a:avLst/>
                    </a:prstGeom>
                  </pic:spPr>
                </pic:pic>
              </a:graphicData>
            </a:graphic>
          </wp:inline>
        </w:drawing>
      </w:r>
    </w:p>
    <w:p>
      <w:r>
        <w:br w:type="page"/>
      </w:r>
    </w:p>
    <w:p>
      <w:pPr>
        <w:spacing w:after="0" w:before="0"/>
        <w:jc w:val="center"/>
      </w:pPr>
      <w:r>
        <w:drawing>
          <wp:inline distT="0" distB="0" distL="0" distR="0">
            <wp:extent cx="5715000" cy="808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8086725"/>
                    </a:xfrm>
                    <a:prstGeom prst="rect">
                      <a:avLst/>
                    </a:prstGeom>
                  </pic:spPr>
                </pic:pic>
              </a:graphicData>
            </a:graphic>
          </wp:inline>
        </w:drawing>
      </w:r>
    </w:p>
    <w:p>
      <w:r>
        <w:br w:type="page"/>
      </w:r>
    </w:p>
    <w:p>
      <w:pPr>
        <w:spacing w:after="0" w:before="0"/>
        <w:jc w:val="center"/>
      </w:pPr>
      <w:r>
        <w:drawing>
          <wp:inline distT="0" distB="0" distL="0" distR="0">
            <wp:extent cx="5715000" cy="808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8086725"/>
                    </a:xfrm>
                    <a:prstGeom prst="rect">
                      <a:avLst/>
                    </a:prstGeom>
                  </pic:spPr>
                </pic:pic>
              </a:graphicData>
            </a:graphic>
          </wp:inline>
        </w:drawing>
      </w:r>
    </w:p>
    <w:p>
      <w:r>
        <w:br w:type="page"/>
      </w:r>
    </w:p>
    <w:p>
      <w:pPr>
        <w:spacing w:after="0" w:before="0"/>
        <w:jc w:val="center"/>
      </w:pPr>
      <w:r>
        <w:drawing>
          <wp:inline distT="0" distB="0" distL="0" distR="0">
            <wp:extent cx="5715000" cy="808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8086725"/>
                    </a:xfrm>
                    <a:prstGeom prst="rect">
                      <a:avLst/>
                    </a:prstGeom>
                  </pic:spPr>
                </pic:pic>
              </a:graphicData>
            </a:graphic>
          </wp:inline>
        </w:drawing>
      </w:r>
    </w:p>
    <w:p>
      <w:r>
        <w:br w:type="page"/>
      </w:r>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Appendix G — Crystallization Report</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Source Document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Electrical Research and Development Association (ERDA) — Report RP-2425-005920</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Standard / Test Method</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Low-temperature crystallization behaviour</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Relevance to This Submission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Supports the pour-point / low-temperature performance data in Section 5.2</w:t>
            </w:r>
          </w:p>
        </w:tc>
      </w:tr>
    </w:tbl>
    <w:p>
      <w:pPr>
        <w:spacing w:before="300"/>
      </w:pPr>
      <w:r>
        <w:rPr>
          <w:rFonts w:ascii="Calibri" w:cs="Calibri" w:eastAsia="Calibri" w:hAnsi="Calibri"/>
          <w:i/>
          <w:iCs/>
          <w:color w:val="555555"/>
          <w:sz w:val="19"/>
          <w:szCs w:val="19"/>
        </w:rPr>
        <w:t xml:space="preserve">The pages of the original report follow, reproduced in full.</w:t>
      </w:r>
    </w:p>
    <w:p>
      <w:r>
        <w:br w:type="page"/>
      </w:r>
    </w:p>
    <w:p>
      <w:pPr>
        <w:spacing w:after="0" w:before="0"/>
        <w:jc w:val="center"/>
      </w:pPr>
      <w:r>
        <w:drawing>
          <wp:inline distT="0" distB="0" distL="0" distR="0">
            <wp:extent cx="5715000" cy="808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8086725"/>
                    </a:xfrm>
                    <a:prstGeom prst="rect">
                      <a:avLst/>
                    </a:prstGeom>
                  </pic:spPr>
                </pic:pic>
              </a:graphicData>
            </a:graphic>
          </wp:inline>
        </w:drawing>
      </w:r>
    </w:p>
    <w:p>
      <w:r>
        <w:br w:type="page"/>
      </w:r>
    </w:p>
    <w:p>
      <w:pPr>
        <w:spacing w:after="0" w:before="0"/>
        <w:jc w:val="center"/>
      </w:pPr>
      <w:r>
        <w:drawing>
          <wp:inline distT="0" distB="0" distL="0" distR="0">
            <wp:extent cx="5715000" cy="808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8086725"/>
                    </a:xfrm>
                    <a:prstGeom prst="rect">
                      <a:avLst/>
                    </a:prstGeom>
                  </pic:spPr>
                </pic:pic>
              </a:graphicData>
            </a:graphic>
          </wp:inline>
        </w:drawing>
      </w:r>
    </w:p>
    <w:p>
      <w:r>
        <w:br w:type="page"/>
      </w:r>
    </w:p>
    <w:p>
      <w:pPr>
        <w:spacing w:after="0" w:before="0"/>
        <w:jc w:val="center"/>
      </w:pPr>
      <w:r>
        <w:drawing>
          <wp:inline distT="0" distB="0" distL="0" distR="0">
            <wp:extent cx="5715000" cy="808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8086725"/>
                    </a:xfrm>
                    <a:prstGeom prst="rect">
                      <a:avLst/>
                    </a:prstGeom>
                  </pic:spPr>
                </pic:pic>
              </a:graphicData>
            </a:graphic>
          </wp:inline>
        </w:drawing>
      </w:r>
    </w:p>
    <w:p>
      <w:r>
        <w:br w:type="page"/>
      </w:r>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Appendix H — Biodegradability Test Report (OECD 301B)</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Source Document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Intertek India Private Limited — Report MUM/000752/2022</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Standard / Test Method</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OECD 301B (modified) — Ready Biodegradability</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Relevance to This Submission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Supports the environmental data in Section 5.3</w:t>
            </w:r>
          </w:p>
        </w:tc>
      </w:tr>
    </w:tbl>
    <w:p>
      <w:pPr>
        <w:spacing w:before="300"/>
      </w:pPr>
      <w:r>
        <w:rPr>
          <w:rFonts w:ascii="Calibri" w:cs="Calibri" w:eastAsia="Calibri" w:hAnsi="Calibri"/>
          <w:i/>
          <w:iCs/>
          <w:color w:val="555555"/>
          <w:sz w:val="19"/>
          <w:szCs w:val="19"/>
        </w:rPr>
        <w:t xml:space="preserve">The pages of the original report follow, reproduced in full.</w:t>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7391400"/>
                    </a:xfrm>
                    <a:prstGeom prst="rect">
                      <a:avLst/>
                    </a:prstGeom>
                  </pic:spPr>
                </pic:pic>
              </a:graphicData>
            </a:graphic>
          </wp:inline>
        </w:drawing>
      </w:r>
    </w:p>
    <w:p>
      <w:r>
        <w:br w:type="page"/>
      </w:r>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Appendix I — Freshwater Algae Growth Inhibition Test Report (OECD 201)</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Source Document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Intertek India Private Limited — Report No. 002378</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Standard / Test Method</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OECD 201</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Relevance to This Submission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Supports the environmental data in Section 5.3</w:t>
            </w:r>
          </w:p>
        </w:tc>
      </w:tr>
    </w:tbl>
    <w:p>
      <w:pPr>
        <w:spacing w:before="300"/>
      </w:pPr>
      <w:r>
        <w:rPr>
          <w:rFonts w:ascii="Calibri" w:cs="Calibri" w:eastAsia="Calibri" w:hAnsi="Calibri"/>
          <w:i/>
          <w:iCs/>
          <w:color w:val="555555"/>
          <w:sz w:val="19"/>
          <w:szCs w:val="19"/>
        </w:rPr>
        <w:t xml:space="preserve">The pages of the original report follow, reproduced in full.</w:t>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8077200"/>
                    </a:xfrm>
                    <a:prstGeom prst="rect">
                      <a:avLst/>
                    </a:prstGeom>
                  </pic:spPr>
                </pic:pic>
              </a:graphicData>
            </a:graphic>
          </wp:inline>
        </w:drawing>
      </w:r>
    </w:p>
    <w:p>
      <w:r>
        <w:br w:type="page"/>
      </w:r>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Appendix J — Daphnia sp. Immobilisation Test Report (OECD 202)</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Source Document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Intertek India Private Limited — Report No. 002379R</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Standard / Test Method</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OECD 202</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Relevance to This Submission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Supports the environmental data in Section 5.3</w:t>
            </w:r>
          </w:p>
        </w:tc>
      </w:tr>
    </w:tbl>
    <w:p>
      <w:pPr>
        <w:spacing w:before="300"/>
      </w:pPr>
      <w:r>
        <w:rPr>
          <w:rFonts w:ascii="Calibri" w:cs="Calibri" w:eastAsia="Calibri" w:hAnsi="Calibri"/>
          <w:i/>
          <w:iCs/>
          <w:color w:val="555555"/>
          <w:sz w:val="19"/>
          <w:szCs w:val="19"/>
        </w:rPr>
        <w:t xml:space="preserve">The pages of the original report follow, reproduced in full.</w:t>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8077200"/>
                    </a:xfrm>
                    <a:prstGeom prst="rect">
                      <a:avLst/>
                    </a:prstGeom>
                  </pic:spPr>
                </pic:pic>
              </a:graphicData>
            </a:graphic>
          </wp:inline>
        </w:drawing>
      </w:r>
    </w:p>
    <w:p>
      <w:r>
        <w:br w:type="page"/>
      </w:r>
    </w:p>
    <w:p>
      <w:pPr>
        <w:spacing w:after="0" w:before="0"/>
        <w:jc w:val="center"/>
      </w:pPr>
      <w:r>
        <w:drawing>
          <wp:inline distT="0" distB="0" distL="0" distR="0">
            <wp:extent cx="5715000" cy="807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8077200"/>
                    </a:xfrm>
                    <a:prstGeom prst="rect">
                      <a:avLst/>
                    </a:prstGeom>
                  </pic:spPr>
                </pic:pic>
              </a:graphicData>
            </a:graphic>
          </wp:inline>
        </w:drawing>
      </w:r>
    </w:p>
    <w:p>
      <w:r>
        <w:br w:type="page"/>
      </w:r>
    </w:p>
    <w:tbl>
      <w:tblPr>
        <w:tblW w:type="pct" w:w="100%"/>
        <w:tblBorders>
          <w:top w:val="none"/>
          <w:left w:val="none"/>
          <w:bottom w:val="none"/>
          <w:right w:val="none"/>
          <w:insideH w:val="none"/>
          <w:insideV w:val="none"/>
        </w:tblBorders>
      </w:tblPr>
      <w:tblGrid>
        <w:gridCol w:w="100"/>
      </w:tblGrid>
      <w:tr>
        <w:tc>
          <w:tcPr>
            <w:shd w:fill="0E7C86" w:color="auto" w:val="clear"/>
            <w:tcMar>
              <w:top w:type="dxa" w:w="160"/>
              <w:left w:type="dxa" w:w="200"/>
              <w:bottom w:type="dxa" w:w="160"/>
              <w:right w:type="dxa" w:w="200"/>
            </w:tcMar>
          </w:tcPr>
          <w:p>
            <w:pPr>
              <w:pStyle w:val="Heading1"/>
              <w:spacing w:after="0" w:before="0"/>
            </w:pPr>
            <w:r>
              <w:rPr>
                <w:rFonts w:ascii="Calibri" w:cs="Calibri" w:eastAsia="Calibri" w:hAnsi="Calibri"/>
                <w:b/>
                <w:bCs/>
                <w:color w:val="FFFFFF"/>
                <w:sz w:val="30"/>
                <w:szCs w:val="30"/>
              </w:rPr>
              <w:t xml:space="preserve">Appendix K — Fish Acute Toxicity Test Report (OECD 203)</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Source Document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Intertek India Private Limited</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Standard / Test Method</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OECD 203</w:t>
            </w:r>
          </w:p>
        </w:tc>
      </w:tr>
      <w:tr>
        <w:tc>
          <w:tcPr>
            <w:tcW w:type="dxa" w:w="2400"/>
            <w:shd w:fill="E4F4F5" w:color="auto" w:val="clear"/>
            <w:tcMar>
              <w:top w:type="dxa" w:w="80"/>
              <w:left w:type="dxa" w:w="120"/>
              <w:bottom w:type="dxa" w:w="80"/>
              <w:right w:type="dxa" w:w="120"/>
            </w:tcMar>
            <w:vAlign w:val="center"/>
          </w:tcPr>
          <w:p>
            <w:pPr>
              <w:jc w:val="left"/>
            </w:pPr>
            <w:r>
              <w:rPr>
                <w:rFonts w:ascii="Calibri" w:cs="Calibri" w:eastAsia="Calibri" w:hAnsi="Calibri"/>
                <w:b/>
                <w:bCs/>
                <w:color w:val="222222"/>
                <w:sz w:val="18"/>
                <w:szCs w:val="18"/>
              </w:rPr>
              <w:t xml:space="preserve">Relevance to This Submission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8"/>
                <w:szCs w:val="18"/>
              </w:rPr>
              <w:t xml:space="preserve">Supports the environmental data in Section 5.3</w:t>
            </w:r>
          </w:p>
        </w:tc>
      </w:tr>
    </w:tbl>
    <w:p>
      <w:pPr>
        <w:spacing w:before="300"/>
      </w:pPr>
      <w:r>
        <w:rPr>
          <w:rFonts w:ascii="Calibri" w:cs="Calibri" w:eastAsia="Calibri" w:hAnsi="Calibri"/>
          <w:i/>
          <w:iCs/>
          <w:color w:val="555555"/>
          <w:sz w:val="19"/>
          <w:szCs w:val="19"/>
        </w:rPr>
        <w:t xml:space="preserve">The pages of the original report follow, reproduced in full.</w:t>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7391400"/>
                    </a:xfrm>
                    <a:prstGeom prst="rect">
                      <a:avLst/>
                    </a:prstGeom>
                  </pic:spPr>
                </pic:pic>
              </a:graphicData>
            </a:graphic>
          </wp:inline>
        </w:drawing>
      </w:r>
    </w:p>
    <w:p>
      <w:r>
        <w:br w:type="page"/>
      </w:r>
    </w:p>
    <w:p>
      <w:pPr>
        <w:spacing w:after="0" w:before="0"/>
        <w:jc w:val="center"/>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7391400"/>
                    </a:xfrm>
                    <a:prstGeom prst="rect">
                      <a:avLst/>
                    </a:prstGeom>
                  </pic:spPr>
                </pic:pic>
              </a:graphicData>
            </a:graphic>
          </wp:inline>
        </w:drawing>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Company Confidential — For IRS Submission Use   |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314B" w:sz="6" w:space="4"/>
      </w:pBdr>
      <w:jc w:val="right"/>
    </w:pPr>
    <w:r>
      <w:rPr>
        <w:color w:val="666666"/>
        <w:sz w:val="15"/>
        <w:szCs w:val="15"/>
      </w:rPr>
      <w:t xml:space="preserve">VFCPL-MEP-001  |  Immersion-Cooled BESS Cooling System — IRS Technical Submission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0e620536dbf78c9590e1d759b1db36efc28c56.png"/><Relationship Id="rId10" Type="http://schemas.openxmlformats.org/officeDocument/2006/relationships/image" Target="media/a3e73533a0e610c4b946bf5fc380cfda60736c48.png"/><Relationship Id="rId11" Type="http://schemas.openxmlformats.org/officeDocument/2006/relationships/image" Target="media/2adb4cccc779def7bed886ac14ca7c86ad65f0c3.png"/><Relationship Id="rId12" Type="http://schemas.openxmlformats.org/officeDocument/2006/relationships/image" Target="media/37b5c6e52bc4c23ea74dd98345cf81c1efe5b897.png"/><Relationship Id="rId13" Type="http://schemas.openxmlformats.org/officeDocument/2006/relationships/image" Target="media/93d749a02a57a19810b3308d46eea1ccbcf0f105.png"/><Relationship Id="rId14" Type="http://schemas.openxmlformats.org/officeDocument/2006/relationships/image" Target="media/b18b70323526fa2335ad70ce13875aded21b7675.png"/><Relationship Id="rId15" Type="http://schemas.openxmlformats.org/officeDocument/2006/relationships/image" Target="media/f3eafde6f58beb3a7476721a7be2a508a4c490e0.png"/><Relationship Id="rId16" Type="http://schemas.openxmlformats.org/officeDocument/2006/relationships/image" Target="media/198beb30baff36664efc8f444a673fe1568adb97.png"/><Relationship Id="rId17" Type="http://schemas.openxmlformats.org/officeDocument/2006/relationships/image" Target="media/4d3dec74861820de912ec61933d8b8129b32c780.png"/><Relationship Id="rId18" Type="http://schemas.openxmlformats.org/officeDocument/2006/relationships/image" Target="media/c028560c1f07b75c06cad79f7e8767f653676393.png"/><Relationship Id="rId19" Type="http://schemas.openxmlformats.org/officeDocument/2006/relationships/image" Target="media/6c466eeeee079fc6f0d048c1318e1de3a57cb0f3.png"/><Relationship Id="rId20" Type="http://schemas.openxmlformats.org/officeDocument/2006/relationships/image" Target="media/369cc5542f4ba722690c70b053c175798da4641e.png"/><Relationship Id="rId21" Type="http://schemas.openxmlformats.org/officeDocument/2006/relationships/image" Target="media/85de6d4e8cd0a855a3c82779f25514681cb73faf.png"/><Relationship Id="rId22" Type="http://schemas.openxmlformats.org/officeDocument/2006/relationships/image" Target="media/317b7cf1533e6acd4408ef9f125c8b38d9f7534a.png"/><Relationship Id="rId23" Type="http://schemas.openxmlformats.org/officeDocument/2006/relationships/image" Target="media/3e9b5c5e98a65e87f8ad855f23517dfa2bbc7a4b.png"/><Relationship Id="rId24" Type="http://schemas.openxmlformats.org/officeDocument/2006/relationships/image" Target="media/e3478ee42fc6e00e84e968b80bcbc97487ba3068.png"/><Relationship Id="rId25" Type="http://schemas.openxmlformats.org/officeDocument/2006/relationships/image" Target="media/56e0d8f91f9ef919a7d06167ed9bae32c5bbfab2.png"/><Relationship Id="rId26" Type="http://schemas.openxmlformats.org/officeDocument/2006/relationships/image" Target="media/c5aa8e5592552de7d4e520574f89a0154cb8ed71.png"/><Relationship Id="rId27" Type="http://schemas.openxmlformats.org/officeDocument/2006/relationships/image" Target="media/a9101b010c01885a5ef717f9bc837e4cb89c4752.png"/><Relationship Id="rId28" Type="http://schemas.openxmlformats.org/officeDocument/2006/relationships/image" Target="media/6ed8e24c15bf78509ac3aa0ff129980b78f306e0.png"/><Relationship Id="rId29" Type="http://schemas.openxmlformats.org/officeDocument/2006/relationships/image" Target="media/3db146ec19470fe7c4bc25acc68089ca1b64467a.png"/><Relationship Id="rId30" Type="http://schemas.openxmlformats.org/officeDocument/2006/relationships/image" Target="media/12fa0bcd8d4d7f50b66296e7f6bab2b1c874aca1.png"/><Relationship Id="rId31" Type="http://schemas.openxmlformats.org/officeDocument/2006/relationships/image" Target="media/01809562b356fb1017c850f68e17853642ff680c.png"/><Relationship Id="rId32" Type="http://schemas.openxmlformats.org/officeDocument/2006/relationships/image" Target="media/b45da21b94dbe03f6a700f4bcb2f597b654861a9.png"/><Relationship Id="rId33" Type="http://schemas.openxmlformats.org/officeDocument/2006/relationships/image" Target="media/77827d5c63bf6163fcb5e7559232eb5e78e9e917.png"/><Relationship Id="rId34" Type="http://schemas.openxmlformats.org/officeDocument/2006/relationships/image" Target="media/285ef83c9724e91f25980083f3900e366444651a.png"/><Relationship Id="rId35" Type="http://schemas.openxmlformats.org/officeDocument/2006/relationships/image" Target="media/3636af9bd62dd8a54f601d5af92740fc70017d70.png"/><Relationship Id="rId36" Type="http://schemas.openxmlformats.org/officeDocument/2006/relationships/image" Target="media/cd8ee710042275ada39b88fb0fb3f7d45818a7da.png"/><Relationship Id="rId37" Type="http://schemas.openxmlformats.org/officeDocument/2006/relationships/image" Target="media/384c31ba26408e6ca10e6b963e1ac2517a0aeacd.png"/><Relationship Id="rId38" Type="http://schemas.openxmlformats.org/officeDocument/2006/relationships/image" Target="media/9b5e86602c877c950f16ad75f150f358abf02c90.png"/><Relationship Id="rId39" Type="http://schemas.openxmlformats.org/officeDocument/2006/relationships/image" Target="media/5550356cd00a9686bc333b789d9ec35075c1e042.png"/><Relationship Id="rId40" Type="http://schemas.openxmlformats.org/officeDocument/2006/relationships/image" Target="media/2541fa636407e85cc409fe33eff666549238c19c.png"/><Relationship Id="rId41" Type="http://schemas.openxmlformats.org/officeDocument/2006/relationships/image" Target="media/7a6ffb3028d222c71683d63a0000d8128a5eac1c.png"/><Relationship Id="rId42" Type="http://schemas.openxmlformats.org/officeDocument/2006/relationships/image" Target="media/e1d72ab014873b088f26e071c63959c5b7e12aa6.png"/><Relationship Id="rId43" Type="http://schemas.openxmlformats.org/officeDocument/2006/relationships/image" Target="media/c842f72416708f7b7daed14bda0b4b95337b399b.png"/><Relationship Id="rId44" Type="http://schemas.openxmlformats.org/officeDocument/2006/relationships/image" Target="media/5b6f63f05aa008a43cf9bb2f077f06565dcbc3b4.png"/><Relationship Id="rId45" Type="http://schemas.openxmlformats.org/officeDocument/2006/relationships/image" Target="media/db2d9d55f48456854586e129e00389c88049c328.png"/><Relationship Id="rId46" Type="http://schemas.openxmlformats.org/officeDocument/2006/relationships/image" Target="media/0dbd0ab9606df3e508a8530c0e1fedcb53c1d54b.png"/><Relationship Id="rId47" Type="http://schemas.openxmlformats.org/officeDocument/2006/relationships/image" Target="media/f442ff99c82cfd7a80f768f68e7963dc8ffee840.png"/><Relationship Id="rId48" Type="http://schemas.openxmlformats.org/officeDocument/2006/relationships/image" Target="media/c901545a6e7085052fa0036b082bbed092ab39d8.png"/><Relationship Id="rId49" Type="http://schemas.openxmlformats.org/officeDocument/2006/relationships/image" Target="media/8d33a12dc3fa68f345b021a92725f31ca078641d.png"/><Relationship Id="rId50" Type="http://schemas.openxmlformats.org/officeDocument/2006/relationships/image" Target="media/2ad9ed6c162776c00f862537c24ed27afad56e40.png"/><Relationship Id="rId51" Type="http://schemas.openxmlformats.org/officeDocument/2006/relationships/image" Target="media/1f9e772d15656bbd53b859353dd1df4af9783bc0.png"/><Relationship Id="rId52" Type="http://schemas.openxmlformats.org/officeDocument/2006/relationships/image" Target="media/c1d75f9a7b984cb62bb50cff3c2e2be18e5b4807.png"/><Relationship Id="rId53" Type="http://schemas.openxmlformats.org/officeDocument/2006/relationships/image" Target="media/6462d2402e6afaed5576421371ca0e1371fb1ebe.png"/><Relationship Id="rId54" Type="http://schemas.openxmlformats.org/officeDocument/2006/relationships/image" Target="media/f22c66dad1c7767f98e199ea08ad41abfea1837c.png"/><Relationship Id="rId55" Type="http://schemas.openxmlformats.org/officeDocument/2006/relationships/image" Target="media/3cab7996799c26dae28395f7fbd29cb926f1d082.png"/><Relationship Id="rId56" Type="http://schemas.openxmlformats.org/officeDocument/2006/relationships/image" Target="media/30373a3dc69c6d6b3dd3f7a1d075fbf939a5510c.png"/><Relationship Id="rId57" Type="http://schemas.openxmlformats.org/officeDocument/2006/relationships/image" Target="media/e706bc78bf2304bc888829ccdfbcdcbf60dbca23.png"/><Relationship Id="rId58" Type="http://schemas.openxmlformats.org/officeDocument/2006/relationships/image" Target="media/b536b4bdb3cc48e6cd8d6bb74a96c0a07408a8d7.png"/><Relationship Id="rId59" Type="http://schemas.openxmlformats.org/officeDocument/2006/relationships/image" Target="media/090070c25862211b81453e9157091e24cf9c695c.png"/><Relationship Id="rId60" Type="http://schemas.openxmlformats.org/officeDocument/2006/relationships/image" Target="media/22056e3b83d396e26d4f4a12a76d7a13ccdb8f54.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2026-09-16T18:00:15.424Z</dcterms:created>
  <dcterms:modified xsi:type="dcterms:W3CDTF">2026-09-16T18:00:15.424Z</dcterms:modified>
</cp:coreProperties>
</file>

<file path=docProps/custom.xml><?xml version="1.0" encoding="utf-8"?>
<Properties xmlns="http://schemas.openxmlformats.org/officeDocument/2006/custom-properties" xmlns:vt="http://schemas.openxmlformats.org/officeDocument/2006/docPropsVTypes"/>
</file>