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Q4 Business Review</w:t>
      </w:r>
    </w:p>
    <w:p>
      <w:pPr>
        <w:pStyle w:val="Heading1"/>
        <w:keepNext/>
      </w:pPr>
      <w:r>
        <w:t xml:space="preserve">Q4 Business Review</w:t>
      </w:r>
    </w:p>
    <w:p>
      <w:pPr>
        <w:spacing w:after="160"/>
      </w:pPr>
      <w:r>
        <w:t xml:space="preserve">Revenue grew across all regions while churn held flat.</w:t>
      </w: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Revenue by Month</w:t>
      </w:r>
    </w:p>
    <w:p>
      <w:pPr>
        <w:keepNext/>
        <w:keepLines/>
        <w:spacing w:after="160"/>
      </w:pPr>
      <w:r>
        <w:drawing>
          <wp:inline distT="0" distB="0" distL="0" distR="0">
            <wp:extent cx="573405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Revenue Mix</w:t>
      </w:r>
    </w:p>
    <w:p>
      <w:pPr>
        <w:keepNext/>
        <w:keepLines/>
        <w:spacing w:after="160"/>
      </w:pPr>
      <w:r>
        <w:drawing>
          <wp:inline distT="0" distB="0" distL="0" distR="0">
            <wp:extent cx="5734050" cy="32289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9CA3AF" w:sz="4"/>
          <w:left w:val="single" w:color="9CA3AF" w:sz="4"/>
          <w:bottom w:val="single" w:color="9CA3AF" w:sz="4"/>
          <w:right w:val="single" w:color="9CA3AF" w:sz="4"/>
          <w:insideH w:val="single" w:color="9CA3AF" w:sz="4"/>
          <w:insideV w:val="single" w:color="9CA3AF" w:sz="4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shd w:fill="1F29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Region</w:t>
            </w:r>
          </w:p>
        </w:tc>
        <w:tc>
          <w:tcPr>
            <w:tcW w:type="dxa" w:w="4513"/>
            <w:shd w:fill="1F29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Q4</w:t>
            </w:r>
          </w:p>
        </w:tc>
      </w:tr>
      <w:tr>
        <w:trPr>
          <w:cantSplit/>
        </w:trPr>
        <w:tc>
          <w:tcPr>
            <w:tcW w:type="dxa" w:w="451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NA</w:t>
            </w:r>
          </w:p>
        </w:tc>
        <w:tc>
          <w:tcPr>
            <w:tcW w:type="dxa" w:w="451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1.2M</w:t>
            </w:r>
          </w:p>
        </w:tc>
      </w:tr>
      <w:tr>
        <w:trPr>
          <w:cantSplit/>
        </w:trPr>
        <w:tc>
          <w:tcPr>
            <w:tcW w:type="dxa" w:w="451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EMEA</w:t>
            </w:r>
          </w:p>
        </w:tc>
        <w:tc>
          <w:tcPr>
            <w:tcW w:type="dxa" w:w="451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640K</w:t>
            </w:r>
          </w:p>
        </w:tc>
      </w:tr>
    </w:tbl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7fd4f6d54b4a5c77010b452f191d391b03ef84f3.png"/><Relationship Id="rId8" Type="http://schemas.openxmlformats.org/officeDocument/2006/relationships/image" Target="media/45e0f4450595fd11064ccf63576653d4ff79731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Q4 Business Review</dc:title>
  <dc:creator>Local AI</dc:creator>
  <cp:lastModifiedBy>Un-named</cp:lastModifiedBy>
  <cp:revision>1</cp:revision>
  <dcterms:created xsi:type="dcterms:W3CDTF">2026-10-18T17:52:43.720Z</dcterms:created>
  <dcterms:modified xsi:type="dcterms:W3CDTF">2026-10-18T17:52:43.720Z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