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Electrical Motor Maintenance Protocol</w:t>
      </w:r>
    </w:p>
    <w:p>
      <w:r>
        <w:t>Before performing any electrical maintenance on Grundfos pump motors, ensure the main circuit breaker is locked out and tagged according to OSHA safety regulations.</w:t>
      </w:r>
    </w:p>
    <w:p>
      <w:pPr>
        <w:pStyle w:val="Heading2"/>
      </w:pPr>
      <w:r>
        <w:t>Insulation Resistance Testing</w:t>
      </w:r>
    </w:p>
    <w:p>
      <w:r>
        <w:t>Measure the winding insulation resistance using a 500V DC megohmmeter. For a healthy motor at 25 degrees Celsius, the minimum acceptable insulation resistance is 100 Megohms. If the measured resistance falls below 10 Megohms, the motor windings must be baked and dried in a heating oven to remove moisture before energizing.</w:t>
      </w:r>
    </w:p>
    <w:p>
      <w:pPr>
        <w:pStyle w:val="Heading2"/>
      </w:pPr>
      <w:r>
        <w:t>Shaft Alignment and Coupling Tolerances</w:t>
      </w:r>
    </w:p>
    <w:p>
      <w:r>
        <w:t>Laser alignment is mandatory for all direct-coupled pumps exceeding 15 kW. Radial misalignment between the motor shaft and pump shaft must not exceed 0.05 mm, and angular misalignment must be within 0.04 degrees. Exceeding these tolerances will lead to premature bearing degradation and mechanical seal leakage.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