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p>
    <w:p>
      <w:pPr>
        <w:shd w:fill="0D1B2A" w:val="clear"/>
        <w:spacing w:after="0" w:before="200"/>
        <w:jc w:val="left"/>
      </w:pPr>
      <w:r>
        <w:rPr>
          <w:rFonts w:ascii="Arial" w:cs="Arial" w:eastAsia="Arial" w:hAnsi="Arial"/>
          <w:b/>
          <w:bCs/>
          <w:color w:val="FFFFFF"/>
          <w:sz w:val="40"/>
          <w:szCs w:val="40"/>
        </w:rPr>
        <w:t xml:space="preserve">FRAUD RING DETECTION</w:t>
      </w:r>
    </w:p>
    <w:p>
      <w:pPr>
        <w:shd w:fill="0D1B2A" w:val="clear"/>
        <w:spacing w:after="0" w:before="0"/>
        <w:jc w:val="left"/>
      </w:pPr>
      <w:r>
        <w:rPr>
          <w:rFonts w:ascii="Arial" w:cs="Arial" w:eastAsia="Arial" w:hAnsi="Arial"/>
          <w:b/>
          <w:bCs/>
          <w:color w:val="FFFFFF"/>
          <w:sz w:val="32"/>
          <w:szCs w:val="32"/>
        </w:rPr>
        <w:t xml:space="preserve">Graph-RAG System</w:t>
      </w:r>
    </w:p>
    <w:p>
      <w:pPr>
        <w:shd w:fill="0D1B2A" w:val="clear"/>
        <w:spacing w:after="200" w:before="0"/>
        <w:jc w:val="left"/>
      </w:pPr>
      <w:r>
        <w:rPr>
          <w:rFonts w:ascii="Arial" w:cs="Arial" w:eastAsia="Arial" w:hAnsi="Arial"/>
          <w:color w:val="A0B4C8"/>
          <w:sz w:val="22"/>
          <w:szCs w:val="22"/>
        </w:rPr>
        <w:t xml:space="preserve">Auto Insurance  ·  Production Architecture</w:t>
      </w:r>
    </w:p>
    <w:p>
      <w:pPr>
        <w:spacing w:after="0" w:before="720"/>
      </w:pPr>
    </w:p>
    <w:p>
      <w:pPr>
        <w:spacing w:after="80" w:before="0"/>
      </w:pPr>
      <w:r>
        <w:rPr>
          <w:rFonts w:ascii="Arial" w:cs="Arial" w:eastAsia="Arial" w:hAnsi="Arial"/>
          <w:b/>
          <w:bCs/>
          <w:color w:val="2E75B6"/>
          <w:sz w:val="24"/>
          <w:szCs w:val="24"/>
        </w:rPr>
        <w:t xml:space="preserve">PRD v2.0</w:t>
      </w:r>
    </w:p>
    <w:p>
      <w:pPr>
        <w:spacing w:after="80" w:before="0"/>
      </w:pPr>
      <w:r>
        <w:rPr>
          <w:rFonts w:ascii="Arial" w:cs="Arial" w:eastAsia="Arial" w:hAnsi="Arial"/>
          <w:color w:val="6B7280"/>
          <w:sz w:val="20"/>
          <w:szCs w:val="20"/>
        </w:rPr>
        <w:t xml:space="preserve">Confidential · Internal Use Only</w:t>
      </w:r>
    </w:p>
    <w:p>
      <w:pPr>
        <w:spacing w:after="0" w:before="2880"/>
      </w:pPr>
    </w:p>
    <w:p>
      <w:pPr>
        <w:pBdr>
          <w:bottom w:val="single" w:color="2E75B6" w:sz="12" w:space="1"/>
        </w:pBdr>
        <w:spacing w:after="200" w:before="0"/>
      </w:pPr>
    </w:p>
    <w:p>
      <w:r>
        <w:br w:type="page"/>
      </w:r>
    </w:p>
    <w:p>
      <w:pPr>
        <w:pStyle w:val="Heading1"/>
        <w:spacing w:after="160" w:before="360"/>
      </w:pPr>
      <w:r>
        <w:rPr>
          <w:rFonts w:ascii="Arial" w:cs="Arial" w:eastAsia="Arial" w:hAnsi="Arial"/>
          <w:b/>
          <w:bCs/>
          <w:color w:val="0D1B2A"/>
          <w:sz w:val="32"/>
          <w:szCs w:val="32"/>
        </w:rPr>
        <w:t xml:space="preserve">1. Executive Summary</w:t>
      </w:r>
    </w:p>
    <w:p>
      <w:pPr>
        <w:spacing w:after="100" w:before="60"/>
      </w:pPr>
      <w:r>
        <w:rPr>
          <w:rFonts w:ascii="Arial" w:cs="Arial" w:eastAsia="Arial" w:hAnsi="Arial"/>
          <w:color w:val="333333"/>
          <w:sz w:val="22"/>
          <w:szCs w:val="22"/>
        </w:rPr>
        <w:t xml:space="preserve">Insurance fraud costs the industry an estimated </w:t>
      </w:r>
      <w:r>
        <w:rPr>
          <w:rFonts w:ascii="Arial" w:cs="Arial" w:eastAsia="Arial" w:hAnsi="Arial"/>
          <w:b/>
          <w:bCs/>
          <w:color w:val="0D1B2A"/>
          <w:sz w:val="22"/>
          <w:szCs w:val="22"/>
        </w:rPr>
        <w:t xml:space="preserve">$300 billion annually</w:t>
      </w:r>
      <w:r>
        <w:rPr>
          <w:rFonts w:ascii="Arial" w:cs="Arial" w:eastAsia="Arial" w:hAnsi="Arial"/>
          <w:color w:val="333333"/>
          <w:sz w:val="22"/>
          <w:szCs w:val="22"/>
        </w:rPr>
        <w:t xml:space="preserve"> — roughly 10% of all insurance spending globally. Fraud is set to worsen in 2025, driven by a 30% rate among people under 45 who don't view insurance fraud as a crime, combined with a sharp rise in exaggerated claims, often exacerbated by attorneys who prioritize maximizing settlements.</w:t>
      </w:r>
    </w:p>
    <w:p>
      <w:pPr>
        <w:spacing w:after="100" w:before="60"/>
      </w:pPr>
      <w:r>
        <w:rPr>
          <w:rFonts w:ascii="Arial" w:cs="Arial" w:eastAsia="Arial" w:hAnsi="Arial"/>
          <w:color w:val="333333"/>
          <w:sz w:val="22"/>
          <w:szCs w:val="22"/>
        </w:rPr>
        <w:t xml:space="preserve">Most existing defenses remain reactive and investigator-intuition dependent. This PRD defines a best-in-class, production-grade Fraud Ring Detection system for auto insurance — one that combines Graph Neural Networks, GraphRAG, real-time streaming, and a rigorous Human-in-the-Loop framework to detect coordinated fraud rings before claims are paid.</w:t>
      </w:r>
    </w:p>
    <w:p>
      <w:pPr>
        <w:spacing w:after="0" w:before="120"/>
      </w:pPr>
    </w:p>
    <w:p>
      <w:pPr>
        <w:pStyle w:val="Heading1"/>
        <w:spacing w:after="160" w:before="360"/>
      </w:pPr>
      <w:r>
        <w:rPr>
          <w:rFonts w:ascii="Arial" w:cs="Arial" w:eastAsia="Arial" w:hAnsi="Arial"/>
          <w:b/>
          <w:bCs/>
          <w:color w:val="0D1B2A"/>
          <w:sz w:val="32"/>
          <w:szCs w:val="32"/>
        </w:rPr>
        <w:t xml:space="preserve">2. Strategic Objectives</w:t>
      </w:r>
    </w:p>
    <w:p>
      <w:pPr>
        <w:pStyle w:val="ListParagraph"/>
        <w:numPr>
          <w:ilvl w:val="0"/>
          <w:numId w:val="2"/>
        </w:numPr>
        <w:spacing w:after="40" w:before="40"/>
      </w:pPr>
      <w:r>
        <w:rPr>
          <w:rFonts w:ascii="Arial" w:cs="Arial" w:eastAsia="Arial" w:hAnsi="Arial"/>
          <w:color w:val="333333"/>
          <w:sz w:val="22"/>
          <w:szCs w:val="22"/>
        </w:rPr>
        <w:t xml:space="preserve">Identify coordinated fraud rings by analyzing indirect, multi-hop relationships across claimants, lawyers, witnesses, and repair shops — connections invisible to traditional rule-based systems.</w:t>
      </w:r>
    </w:p>
    <w:p>
      <w:pPr>
        <w:pStyle w:val="ListParagraph"/>
        <w:numPr>
          <w:ilvl w:val="0"/>
          <w:numId w:val="2"/>
        </w:numPr>
        <w:spacing w:after="40" w:before="40"/>
      </w:pPr>
      <w:r>
        <w:rPr>
          <w:rFonts w:ascii="Arial" w:cs="Arial" w:eastAsia="Arial" w:hAnsi="Arial"/>
          <w:color w:val="333333"/>
          <w:sz w:val="22"/>
          <w:szCs w:val="22"/>
        </w:rPr>
        <w:t xml:space="preserve">Shift from reactive to pre-payment detection. Real-time monitoring with machine learning and graph analytics flags and investigates suspicious claims before payments are made, reducing losses significantly.</w:t>
      </w:r>
    </w:p>
    <w:p>
      <w:pPr>
        <w:pStyle w:val="ListParagraph"/>
        <w:numPr>
          <w:ilvl w:val="0"/>
          <w:numId w:val="2"/>
        </w:numPr>
        <w:spacing w:after="40" w:before="40"/>
      </w:pPr>
      <w:r>
        <w:rPr>
          <w:rFonts w:ascii="Arial" w:cs="Arial" w:eastAsia="Arial" w:hAnsi="Arial"/>
          <w:color w:val="333333"/>
          <w:sz w:val="22"/>
          <w:szCs w:val="22"/>
        </w:rPr>
        <w:t xml:space="preserve">Build explainable AI, not a black box. Every suspicion score must be traceable to specific data points so investigators can perform a meaningful sanity check — not just accept or reject a number.</w:t>
      </w:r>
    </w:p>
    <w:p>
      <w:pPr>
        <w:pStyle w:val="ListParagraph"/>
        <w:numPr>
          <w:ilvl w:val="0"/>
          <w:numId w:val="2"/>
        </w:numPr>
        <w:spacing w:after="40" w:before="40"/>
      </w:pPr>
      <w:r>
        <w:rPr>
          <w:rFonts w:ascii="Arial" w:cs="Arial" w:eastAsia="Arial" w:hAnsi="Arial"/>
          <w:color w:val="333333"/>
          <w:sz w:val="22"/>
          <w:szCs w:val="22"/>
        </w:rPr>
        <w:t xml:space="preserve">Enforce Human-in-the-Loop accountability at every decision gate. No automated action is taken without a named human signature.</w:t>
      </w:r>
    </w:p>
    <w:p>
      <w:pPr>
        <w:pStyle w:val="ListParagraph"/>
        <w:numPr>
          <w:ilvl w:val="0"/>
          <w:numId w:val="2"/>
        </w:numPr>
        <w:spacing w:after="40" w:before="40"/>
      </w:pPr>
      <w:r>
        <w:rPr>
          <w:rFonts w:ascii="Arial" w:cs="Arial" w:eastAsia="Arial" w:hAnsi="Arial"/>
          <w:color w:val="333333"/>
          <w:sz w:val="22"/>
          <w:szCs w:val="22"/>
        </w:rPr>
        <w:t xml:space="preserve">Learn continuously. Investigator feedback on every reviewed lead becomes training signal for model improvement.</w:t>
      </w:r>
    </w:p>
    <w:p>
      <w:pPr>
        <w:spacing w:after="0" w:before="120"/>
      </w:pPr>
    </w:p>
    <w:p>
      <w:pPr>
        <w:pStyle w:val="Heading1"/>
        <w:spacing w:after="160" w:before="360"/>
      </w:pPr>
      <w:r>
        <w:rPr>
          <w:rFonts w:ascii="Arial" w:cs="Arial" w:eastAsia="Arial" w:hAnsi="Arial"/>
          <w:b/>
          <w:bCs/>
          <w:color w:val="0D1B2A"/>
          <w:sz w:val="32"/>
          <w:szCs w:val="32"/>
        </w:rPr>
        <w:t xml:space="preserve">3. Why Graph-Based Approaches Are State-of-the-Art</w:t>
      </w:r>
    </w:p>
    <w:p>
      <w:pPr>
        <w:spacing w:after="100" w:before="60"/>
      </w:pPr>
      <w:r>
        <w:rPr>
          <w:rFonts w:ascii="Arial" w:cs="Arial" w:eastAsia="Arial" w:hAnsi="Arial"/>
          <w:color w:val="333333"/>
          <w:sz w:val="22"/>
          <w:szCs w:val="22"/>
        </w:rPr>
        <w:t xml:space="preserve">Traditional ML treats each claim in isolation. Increasingly sophisticated fraudsters have developed ways to elude discovery by working together and leveraging false identities. Significant opportunity for improvement lies in looking beyond individual data points to the connections that link them — connections that oftentimes hold the best clues.</w:t>
      </w:r>
    </w:p>
    <w:p>
      <w:pPr>
        <w:spacing w:after="100" w:before="60"/>
      </w:pPr>
      <w:r>
        <w:rPr>
          <w:rFonts w:ascii="Arial" w:cs="Arial" w:eastAsia="Arial" w:hAnsi="Arial"/>
          <w:color w:val="333333"/>
          <w:sz w:val="22"/>
          <w:szCs w:val="22"/>
        </w:rPr>
        <w:t xml:space="preserve">Graph analytics detects hidden relationships and patterns between entities like claimants and providers. It identifies complex networks and suspicious behaviors not apparent with traditional methods, and captures coordinated schemes between multiple entities that make fraud rings easier to identify.</w:t>
      </w:r>
    </w:p>
    <w:p>
      <w:pPr>
        <w:pStyle w:val="Heading3"/>
        <w:spacing w:after="80" w:before="200"/>
      </w:pPr>
      <w:r>
        <w:rPr>
          <w:rFonts w:ascii="Arial" w:cs="Arial" w:eastAsia="Arial" w:hAnsi="Arial"/>
          <w:b/>
          <w:bCs/>
          <w:color w:val="4B5563"/>
          <w:sz w:val="22"/>
          <w:szCs w:val="22"/>
        </w:rPr>
        <w:t xml:space="preserve">Research Frontier</w:t>
      </w:r>
    </w:p>
    <w:p>
      <w:pPr>
        <w:pStyle w:val="ListParagraph"/>
        <w:numPr>
          <w:ilvl w:val="0"/>
          <w:numId w:val="3"/>
        </w:numPr>
        <w:spacing w:after="40" w:before="40"/>
      </w:pPr>
      <w:r>
        <w:rPr>
          <w:rFonts w:ascii="Arial" w:cs="Arial" w:eastAsia="Arial" w:hAnsi="Arial"/>
          <w:color w:val="333333"/>
          <w:sz w:val="22"/>
          <w:szCs w:val="22"/>
        </w:rPr>
        <w:t xml:space="preserve">GNNs capture and interpret intricate patterns by considering both node features and the connections between nodes, processing complex relationships and dependencies within a dataset.</w:t>
      </w:r>
    </w:p>
    <w:p>
      <w:pPr>
        <w:pStyle w:val="ListParagraph"/>
        <w:numPr>
          <w:ilvl w:val="0"/>
          <w:numId w:val="3"/>
        </w:numPr>
        <w:spacing w:after="40" w:before="40"/>
      </w:pPr>
      <w:r>
        <w:rPr>
          <w:rFonts w:ascii="Arial" w:cs="Arial" w:eastAsia="Arial" w:hAnsi="Arial"/>
          <w:color w:val="333333"/>
          <w:sz w:val="22"/>
          <w:szCs w:val="22"/>
        </w:rPr>
        <w:t xml:space="preserve">Multi-channel heterogeneous graph structure learning captures diverse graph-based features from different claims to model complex relationships and patterns for increasing detection accuracy.</w:t>
      </w:r>
    </w:p>
    <w:p>
      <w:pPr>
        <w:pStyle w:val="ListParagraph"/>
        <w:numPr>
          <w:ilvl w:val="0"/>
          <w:numId w:val="3"/>
        </w:numPr>
        <w:spacing w:after="40" w:before="40"/>
      </w:pPr>
      <w:r>
        <w:rPr>
          <w:rFonts w:ascii="Arial" w:cs="Arial" w:eastAsia="Arial" w:hAnsi="Arial"/>
          <w:color w:val="333333"/>
          <w:sz w:val="22"/>
          <w:szCs w:val="22"/>
        </w:rPr>
        <w:t xml:space="preserve">RL-GNN fusion models demonstrate a 19.7% gain in recall and a 33% reduction in false positives compared to baseline GNN models, with near real-time inference averaging 42ms per batch.</w:t>
      </w:r>
    </w:p>
    <w:p>
      <w:pPr>
        <w:pStyle w:val="ListParagraph"/>
        <w:numPr>
          <w:ilvl w:val="0"/>
          <w:numId w:val="3"/>
        </w:numPr>
        <w:spacing w:after="40" w:before="40"/>
      </w:pPr>
      <w:r>
        <w:rPr>
          <w:rFonts w:ascii="Arial" w:cs="Arial" w:eastAsia="Arial" w:hAnsi="Arial"/>
          <w:color w:val="333333"/>
          <w:sz w:val="22"/>
          <w:szCs w:val="22"/>
        </w:rPr>
        <w:t xml:space="preserve">GraphRAG weaves knowledge graphs directly into retrieval pipelines, enabling LLMs to connect relationships — not just retrieve facts — especially powerful for fraud detection's complex inference demands.</w:t>
      </w:r>
    </w:p>
    <w:p>
      <w:pPr>
        <w:spacing w:after="0" w:before="120"/>
      </w:pPr>
    </w:p>
    <w:p>
      <w:pPr>
        <w:pStyle w:val="Heading1"/>
        <w:spacing w:after="160" w:before="360"/>
      </w:pPr>
      <w:r>
        <w:rPr>
          <w:rFonts w:ascii="Arial" w:cs="Arial" w:eastAsia="Arial" w:hAnsi="Arial"/>
          <w:b/>
          <w:bCs/>
          <w:color w:val="0D1B2A"/>
          <w:sz w:val="32"/>
          <w:szCs w:val="32"/>
        </w:rPr>
        <w:t xml:space="preserve">4. System Architecture</w:t>
      </w:r>
    </w:p>
    <w:p>
      <w:pPr>
        <w:pStyle w:val="Heading2"/>
        <w:spacing w:after="120" w:before="280"/>
      </w:pPr>
      <w:r>
        <w:rPr>
          <w:rFonts w:ascii="Arial" w:cs="Arial" w:eastAsia="Arial" w:hAnsi="Arial"/>
          <w:b/>
          <w:bCs/>
          <w:color w:val="2E75B6"/>
          <w:sz w:val="26"/>
          <w:szCs w:val="26"/>
        </w:rPr>
        <w:t xml:space="preserve">4.1 Data Ingestion Layer</w:t>
      </w:r>
    </w:p>
    <w:p>
      <w:pPr>
        <w:spacing w:after="100" w:before="60"/>
      </w:pPr>
      <w:r>
        <w:rPr>
          <w:rFonts w:ascii="Arial" w:cs="Arial" w:eastAsia="Arial" w:hAnsi="Arial"/>
          <w:b/>
          <w:bCs/>
          <w:color w:val="2E75B6"/>
          <w:sz w:val="22"/>
          <w:szCs w:val="22"/>
        </w:rPr>
        <w:t xml:space="preserve">Batch pipeline: </w:t>
      </w:r>
      <w:r>
        <w:rPr>
          <w:rFonts w:ascii="Arial" w:cs="Arial" w:eastAsia="Arial" w:hAnsi="Arial"/>
          <w:color w:val="333333"/>
          <w:sz w:val="22"/>
          <w:szCs w:val="22"/>
        </w:rPr>
        <w:t xml:space="preserve">Historical claims data, vendor registry, prior fraud ring indices, court records, and attorney licensing databases loaded via a Spark-based ETL pipeline (AWS Glue + EMR) into Neo4j.</w:t>
      </w:r>
    </w:p>
    <w:p>
      <w:pPr>
        <w:spacing w:after="100" w:before="60"/>
      </w:pPr>
      <w:r>
        <w:rPr>
          <w:rFonts w:ascii="Arial" w:cs="Arial" w:eastAsia="Arial" w:hAnsi="Arial"/>
          <w:b/>
          <w:bCs/>
          <w:color w:val="2E75B6"/>
          <w:sz w:val="22"/>
          <w:szCs w:val="22"/>
        </w:rPr>
        <w:t xml:space="preserve">Real-time streaming: </w:t>
      </w:r>
      <w:r>
        <w:rPr>
          <w:rFonts w:ascii="Arial" w:cs="Arial" w:eastAsia="Arial" w:hAnsi="Arial"/>
          <w:color w:val="333333"/>
          <w:sz w:val="22"/>
          <w:szCs w:val="22"/>
        </w:rPr>
        <w:t xml:space="preserve">Live claim submissions, FNOL events, and repair shop invoices flow via Amazon Kinesis → Neo4j Kafka Connector into the graph database within seconds of ingestion. This enables pre-payment intervention.</w:t>
      </w:r>
    </w:p>
    <w:p>
      <w:pPr>
        <w:spacing w:after="100" w:before="60"/>
      </w:pPr>
      <w:r>
        <w:rPr>
          <w:rFonts w:ascii="Arial" w:cs="Arial" w:eastAsia="Arial" w:hAnsi="Arial"/>
          <w:b/>
          <w:bCs/>
          <w:color w:val="2E75B6"/>
          <w:sz w:val="22"/>
          <w:szCs w:val="22"/>
        </w:rPr>
        <w:t xml:space="preserve">External enrichment: </w:t>
      </w:r>
      <w:r>
        <w:rPr>
          <w:rFonts w:ascii="Arial" w:cs="Arial" w:eastAsia="Arial" w:hAnsi="Arial"/>
          <w:color w:val="333333"/>
          <w:sz w:val="22"/>
          <w:szCs w:val="22"/>
        </w:rPr>
        <w:t xml:space="preserve">Cross-carrier data sharing feeds, geospatial incident data, DMV records, and attorney bar association APIs augment every node at ingestion time.</w:t>
      </w:r>
    </w:p>
    <w:p>
      <w:pPr>
        <w:pStyle w:val="Heading2"/>
        <w:spacing w:after="120" w:before="280"/>
      </w:pPr>
      <w:r>
        <w:rPr>
          <w:rFonts w:ascii="Arial" w:cs="Arial" w:eastAsia="Arial" w:hAnsi="Arial"/>
          <w:b/>
          <w:bCs/>
          <w:color w:val="2E75B6"/>
          <w:sz w:val="26"/>
          <w:szCs w:val="26"/>
        </w:rPr>
        <w:t xml:space="preserve">4.2 Graph Data Model</w:t>
      </w:r>
    </w:p>
    <w:p>
      <w:pPr>
        <w:spacing w:after="100" w:before="60"/>
      </w:pPr>
      <w:r>
        <w:rPr>
          <w:rFonts w:ascii="Arial" w:cs="Arial" w:eastAsia="Arial" w:hAnsi="Arial"/>
          <w:color w:val="333333"/>
          <w:sz w:val="22"/>
          <w:szCs w:val="22"/>
        </w:rPr>
        <w:t xml:space="preserve">The core knowledge graph represents the auto insurance ecosystem as a heterogeneous property graph.</w:t>
      </w:r>
    </w:p>
    <w:p>
      <w:pPr>
        <w:pStyle w:val="Heading3"/>
        <w:spacing w:after="80" w:before="200"/>
      </w:pPr>
      <w:r>
        <w:rPr>
          <w:rFonts w:ascii="Arial" w:cs="Arial" w:eastAsia="Arial" w:hAnsi="Arial"/>
          <w:b/>
          <w:bCs/>
          <w:color w:val="4B5563"/>
          <w:sz w:val="22"/>
          <w:szCs w:val="22"/>
        </w:rPr>
        <w:t xml:space="preserve">Node Types</w:t>
      </w:r>
    </w:p>
    <w:p>
      <w:pPr>
        <w:pStyle w:val="ListParagraph"/>
        <w:numPr>
          <w:ilvl w:val="0"/>
          <w:numId w:val="3"/>
        </w:numPr>
        <w:spacing w:after="40" w:before="40"/>
      </w:pPr>
      <w:r>
        <w:rPr>
          <w:rFonts w:ascii="Arial" w:cs="Arial" w:eastAsia="Arial" w:hAnsi="Arial"/>
          <w:color w:val="333333"/>
          <w:sz w:val="22"/>
          <w:szCs w:val="22"/>
        </w:rPr>
        <w:t xml:space="preserve">Primary entities: Customer, Policy, Claim, Vehicle, Incident</w:t>
      </w:r>
    </w:p>
    <w:p>
      <w:pPr>
        <w:pStyle w:val="ListParagraph"/>
        <w:numPr>
          <w:ilvl w:val="0"/>
          <w:numId w:val="3"/>
        </w:numPr>
        <w:spacing w:after="40" w:before="40"/>
      </w:pPr>
      <w:r>
        <w:rPr>
          <w:rFonts w:ascii="Arial" w:cs="Arial" w:eastAsia="Arial" w:hAnsi="Arial"/>
          <w:color w:val="333333"/>
          <w:sz w:val="22"/>
          <w:szCs w:val="22"/>
        </w:rPr>
        <w:t xml:space="preserve">Third parties: Witness, Attorney/Lawyer, RepairShop, Contractor, DrinkingVenue</w:t>
      </w:r>
    </w:p>
    <w:p>
      <w:pPr>
        <w:pStyle w:val="ListParagraph"/>
        <w:numPr>
          <w:ilvl w:val="0"/>
          <w:numId w:val="3"/>
        </w:numPr>
        <w:spacing w:after="40" w:before="40"/>
      </w:pPr>
      <w:r>
        <w:rPr>
          <w:rFonts w:ascii="Arial" w:cs="Arial" w:eastAsia="Arial" w:hAnsi="Arial"/>
          <w:color w:val="333333"/>
          <w:sz w:val="22"/>
          <w:szCs w:val="22"/>
        </w:rPr>
        <w:t xml:space="preserve">Medical: Doctor, Hospital, MedicalReport</w:t>
      </w:r>
    </w:p>
    <w:p>
      <w:pPr>
        <w:pStyle w:val="ListParagraph"/>
        <w:numPr>
          <w:ilvl w:val="0"/>
          <w:numId w:val="3"/>
        </w:numPr>
        <w:spacing w:after="40" w:before="40"/>
      </w:pPr>
      <w:r>
        <w:rPr>
          <w:rFonts w:ascii="Arial" w:cs="Arial" w:eastAsia="Arial" w:hAnsi="Arial"/>
          <w:color w:val="333333"/>
          <w:sz w:val="22"/>
          <w:szCs w:val="22"/>
        </w:rPr>
        <w:t xml:space="preserve">Investigation: InvestigationCase, HumanReview, FraudRing, Event</w:t>
      </w:r>
    </w:p>
    <w:p>
      <w:pPr>
        <w:pStyle w:val="ListParagraph"/>
        <w:numPr>
          <w:ilvl w:val="0"/>
          <w:numId w:val="3"/>
        </w:numPr>
        <w:spacing w:after="40" w:before="40"/>
      </w:pPr>
      <w:r>
        <w:rPr>
          <w:rFonts w:ascii="Arial" w:cs="Arial" w:eastAsia="Arial" w:hAnsi="Arial"/>
          <w:color w:val="333333"/>
          <w:sz w:val="22"/>
          <w:szCs w:val="22"/>
        </w:rPr>
        <w:t xml:space="preserve">Analytics: NetworkFeature, FinancialTransaction</w:t>
      </w:r>
    </w:p>
    <w:p>
      <w:pPr>
        <w:pStyle w:val="ListParagraph"/>
        <w:numPr>
          <w:ilvl w:val="0"/>
          <w:numId w:val="3"/>
        </w:numPr>
        <w:spacing w:after="40" w:before="40"/>
      </w:pPr>
      <w:r>
        <w:rPr>
          <w:rFonts w:ascii="Arial" w:cs="Arial" w:eastAsia="Arial" w:hAnsi="Arial"/>
          <w:color w:val="333333"/>
          <w:sz w:val="22"/>
          <w:szCs w:val="22"/>
        </w:rPr>
        <w:t xml:space="preserve">Reference: PhoneNumber, Address, LiabilityPattern, VehicleMake</w:t>
      </w:r>
    </w:p>
    <w:p>
      <w:pPr>
        <w:pStyle w:val="Heading3"/>
        <w:spacing w:after="80" w:before="200"/>
      </w:pPr>
      <w:r>
        <w:rPr>
          <w:rFonts w:ascii="Arial" w:cs="Arial" w:eastAsia="Arial" w:hAnsi="Arial"/>
          <w:b/>
          <w:bCs/>
          <w:color w:val="4B5563"/>
          <w:sz w:val="22"/>
          <w:szCs w:val="22"/>
        </w:rPr>
        <w:t xml:space="preserve">Key Edge Types with Weights</w:t>
      </w:r>
    </w:p>
    <w:p>
      <w:pPr>
        <w:pStyle w:val="ListParagraph"/>
        <w:numPr>
          <w:ilvl w:val="0"/>
          <w:numId w:val="3"/>
        </w:numPr>
        <w:spacing w:after="40" w:before="40"/>
      </w:pPr>
      <w:r>
        <w:rPr>
          <w:rFonts w:ascii="Arial" w:cs="Arial" w:eastAsia="Arial" w:hAnsi="Arial"/>
          <w:color w:val="333333"/>
          <w:sz w:val="22"/>
          <w:szCs w:val="22"/>
        </w:rPr>
        <w:t xml:space="preserve">SHARES_ATTRIBUTE (417 edges) — pairwise links on shared phone, bank account, or IP with attribute_risk_score and fraud_signal (CRITICAL / HIGH / MEDIUM)</w:t>
      </w:r>
    </w:p>
    <w:p>
      <w:pPr>
        <w:pStyle w:val="ListParagraph"/>
        <w:numPr>
          <w:ilvl w:val="0"/>
          <w:numId w:val="3"/>
        </w:numPr>
        <w:spacing w:after="40" w:before="40"/>
      </w:pPr>
      <w:r>
        <w:rPr>
          <w:rFonts w:ascii="Arial" w:cs="Arial" w:eastAsia="Arial" w:hAnsi="Arial"/>
          <w:color w:val="333333"/>
          <w:sz w:val="22"/>
          <w:szCs w:val="22"/>
        </w:rPr>
        <w:t xml:space="preserve">RING_CONTAINS_CLAIM + RING_INVOLVES_CUSTOMER — FraudRing → Claim/Customer with role_in_ring, connection_strength, and event_time</w:t>
      </w:r>
    </w:p>
    <w:p>
      <w:pPr>
        <w:pStyle w:val="ListParagraph"/>
        <w:numPr>
          <w:ilvl w:val="0"/>
          <w:numId w:val="3"/>
        </w:numPr>
        <w:spacing w:after="40" w:before="40"/>
      </w:pPr>
      <w:r>
        <w:rPr>
          <w:rFonts w:ascii="Arial" w:cs="Arial" w:eastAsia="Arial" w:hAnsi="Arial"/>
          <w:color w:val="333333"/>
          <w:sz w:val="22"/>
          <w:szCs w:val="22"/>
        </w:rPr>
        <w:t xml:space="preserve">CUSTOMER_RELATIONSHIPS (7,974 edges) — unified family graph: SPOUSE_OF, PARENT_OF, CHILD_OF, SIBLING_OF, RELATIVE_OF, FRAUD_RING_FAMILY_LINK, SHARED_CLAIM_EXPOSURE</w:t>
      </w:r>
    </w:p>
    <w:p>
      <w:pPr>
        <w:pStyle w:val="ListParagraph"/>
        <w:numPr>
          <w:ilvl w:val="0"/>
          <w:numId w:val="3"/>
        </w:numPr>
        <w:spacing w:after="40" w:before="40"/>
      </w:pPr>
      <w:r>
        <w:rPr>
          <w:rFonts w:ascii="Arial" w:cs="Arial" w:eastAsia="Arial" w:hAnsi="Arial"/>
          <w:color w:val="333333"/>
          <w:sz w:val="22"/>
          <w:szCs w:val="22"/>
        </w:rPr>
        <w:t xml:space="preserve">All edges carry: weight, connection_strength, first_seen_date, last_seen_date, event_time, interaction_count</w:t>
      </w:r>
    </w:p>
    <w:p>
      <w:pPr>
        <w:spacing w:after="0" w:before="120"/>
      </w:pPr>
    </w:p>
    <w:p>
      <w:pPr>
        <w:pStyle w:val="Heading2"/>
        <w:spacing w:after="120" w:before="280"/>
      </w:pPr>
      <w:r>
        <w:rPr>
          <w:rFonts w:ascii="Arial" w:cs="Arial" w:eastAsia="Arial" w:hAnsi="Arial"/>
          <w:b/>
          <w:bCs/>
          <w:color w:val="2E75B6"/>
          <w:sz w:val="26"/>
          <w:szCs w:val="26"/>
        </w:rPr>
        <w:t xml:space="preserve">4.3 Detection Engine — Three-Layer Model</w:t>
      </w:r>
    </w:p>
    <w:p>
      <w:pPr>
        <w:pStyle w:val="Heading3"/>
        <w:spacing w:after="80" w:before="200"/>
      </w:pPr>
      <w:r>
        <w:rPr>
          <w:rFonts w:ascii="Arial" w:cs="Arial" w:eastAsia="Arial" w:hAnsi="Arial"/>
          <w:b/>
          <w:bCs/>
          <w:color w:val="4B5563"/>
          <w:sz w:val="22"/>
          <w:szCs w:val="22"/>
        </w:rPr>
        <w:t xml:space="preserve">Layer 1 — Rule &amp; Heuristic Signals (fast, always-on)</w:t>
      </w:r>
    </w:p>
    <w:p>
      <w:pPr>
        <w:spacing w:after="100" w:before="60"/>
      </w:pPr>
      <w:r>
        <w:rPr>
          <w:rFonts w:ascii="Arial" w:cs="Arial" w:eastAsia="Arial" w:hAnsi="Arial"/>
          <w:color w:val="333333"/>
          <w:sz w:val="22"/>
          <w:szCs w:val="22"/>
        </w:rPr>
        <w:t xml:space="preserve">Triggered immediately on claim ingestion. No ML required — deterministic rules with low computational overhead run on every claim entering the graph.</w:t>
      </w:r>
    </w:p>
    <w:p>
      <w:pPr>
        <w:pStyle w:val="ListParagraph"/>
        <w:numPr>
          <w:ilvl w:val="0"/>
          <w:numId w:val="3"/>
        </w:numPr>
        <w:spacing w:after="40" w:before="40"/>
      </w:pPr>
      <w:r>
        <w:rPr>
          <w:rFonts w:ascii="Arial" w:cs="Arial" w:eastAsia="Arial" w:hAnsi="Arial"/>
          <w:color w:val="333333"/>
          <w:sz w:val="22"/>
          <w:szCs w:val="22"/>
        </w:rPr>
        <w:t xml:space="preserve">Same attorney + shop appearing across ≥3 claims in 30 days</w:t>
      </w:r>
    </w:p>
    <w:p>
      <w:pPr>
        <w:pStyle w:val="ListParagraph"/>
        <w:numPr>
          <w:ilvl w:val="0"/>
          <w:numId w:val="3"/>
        </w:numPr>
        <w:spacing w:after="40" w:before="40"/>
      </w:pPr>
      <w:r>
        <w:rPr>
          <w:rFonts w:ascii="Arial" w:cs="Arial" w:eastAsia="Arial" w:hAnsi="Arial"/>
          <w:color w:val="333333"/>
          <w:sz w:val="22"/>
          <w:szCs w:val="22"/>
        </w:rPr>
        <w:t xml:space="preserve">Duplicate phone/address across unrelated claimants</w:t>
      </w:r>
    </w:p>
    <w:p>
      <w:pPr>
        <w:pStyle w:val="ListParagraph"/>
        <w:numPr>
          <w:ilvl w:val="0"/>
          <w:numId w:val="3"/>
        </w:numPr>
        <w:spacing w:after="40" w:before="40"/>
      </w:pPr>
      <w:r>
        <w:rPr>
          <w:rFonts w:ascii="Arial" w:cs="Arial" w:eastAsia="Arial" w:hAnsi="Arial"/>
          <w:color w:val="333333"/>
          <w:sz w:val="22"/>
          <w:szCs w:val="22"/>
        </w:rPr>
        <w:t xml:space="preserve">Incident geo-cluster within defined radius</w:t>
      </w:r>
    </w:p>
    <w:p>
      <w:pPr>
        <w:pStyle w:val="ListParagraph"/>
        <w:numPr>
          <w:ilvl w:val="0"/>
          <w:numId w:val="3"/>
        </w:numPr>
        <w:spacing w:after="40" w:before="40"/>
      </w:pPr>
      <w:r>
        <w:rPr>
          <w:rFonts w:ascii="Arial" w:cs="Arial" w:eastAsia="Arial" w:hAnsi="Arial"/>
          <w:color w:val="333333"/>
          <w:sz w:val="22"/>
          <w:szCs w:val="22"/>
        </w:rPr>
        <w:t xml:space="preserve">Repair estimate outlier vs. vehicle damage photos</w:t>
      </w:r>
    </w:p>
    <w:p>
      <w:pPr>
        <w:spacing w:after="100" w:before="60"/>
      </w:pPr>
      <w:r>
        <w:rPr>
          <w:rFonts w:ascii="Arial" w:cs="Arial" w:eastAsia="Arial" w:hAnsi="Arial"/>
          <w:color w:val="333333"/>
          <w:sz w:val="22"/>
          <w:szCs w:val="22"/>
        </w:rPr>
        <w:t xml:space="preserve">Outputs a </w:t>
      </w:r>
      <w:r>
        <w:rPr>
          <w:rFonts w:ascii="Arial" w:cs="Arial" w:eastAsia="Arial" w:hAnsi="Arial"/>
          <w:b/>
          <w:bCs/>
          <w:color w:val="0D1B2A"/>
          <w:sz w:val="22"/>
          <w:szCs w:val="22"/>
        </w:rPr>
        <w:t xml:space="preserve">signal score</w:t>
      </w:r>
      <w:r>
        <w:rPr>
          <w:rFonts w:ascii="Arial" w:cs="Arial" w:eastAsia="Arial" w:hAnsi="Arial"/>
          <w:color w:val="333333"/>
          <w:sz w:val="22"/>
          <w:szCs w:val="22"/>
        </w:rPr>
        <w:t xml:space="preserve"> per entity that feeds as input features into Layer 2. Rules are updated quarterly as ring tactics evolve.</w:t>
      </w:r>
    </w:p>
    <w:p>
      <w:pPr>
        <w:pStyle w:val="Heading3"/>
        <w:spacing w:after="80" w:before="200"/>
      </w:pPr>
      <w:r>
        <w:rPr>
          <w:rFonts w:ascii="Arial" w:cs="Arial" w:eastAsia="Arial" w:hAnsi="Arial"/>
          <w:b/>
          <w:bCs/>
          <w:color w:val="4B5563"/>
          <w:sz w:val="22"/>
          <w:szCs w:val="22"/>
        </w:rPr>
        <w:t xml:space="preserve">Layer 2 — Graph Neural Network Scoring</w:t>
      </w:r>
    </w:p>
    <w:p>
      <w:pPr>
        <w:spacing w:after="100" w:before="60"/>
      </w:pPr>
      <w:r>
        <w:rPr>
          <w:rFonts w:ascii="Arial" w:cs="Arial" w:eastAsia="Arial" w:hAnsi="Arial"/>
          <w:color w:val="333333"/>
          <w:sz w:val="22"/>
          <w:szCs w:val="22"/>
        </w:rPr>
        <w:t xml:space="preserve">Primary architecture: </w:t>
      </w:r>
      <w:r>
        <w:rPr>
          <w:rFonts w:ascii="Arial" w:cs="Arial" w:eastAsia="Arial" w:hAnsi="Arial"/>
          <w:b/>
          <w:bCs/>
          <w:color w:val="2E75B6"/>
          <w:sz w:val="22"/>
          <w:szCs w:val="22"/>
        </w:rPr>
        <w:t xml:space="preserve">GraphSAGE</w:t>
      </w:r>
      <w:r>
        <w:rPr>
          <w:rFonts w:ascii="Arial" w:cs="Arial" w:eastAsia="Arial" w:hAnsi="Arial"/>
          <w:color w:val="333333"/>
          <w:sz w:val="22"/>
          <w:szCs w:val="22"/>
        </w:rPr>
        <w:t xml:space="preserve"> (Graph Sample and Aggregate) for scalability and inductive learning — handles new nodes without full retraining.</w:t>
      </w:r>
    </w:p>
    <w:p>
      <w:pPr>
        <w:spacing w:after="100" w:before="60"/>
      </w:pPr>
      <w:r>
        <w:rPr>
          <w:rFonts w:ascii="Arial" w:cs="Arial" w:eastAsia="Arial" w:hAnsi="Arial"/>
          <w:color w:val="333333"/>
          <w:sz w:val="22"/>
          <w:szCs w:val="22"/>
        </w:rPr>
        <w:t xml:space="preserve">Augmented with </w:t>
      </w:r>
      <w:r>
        <w:rPr>
          <w:rFonts w:ascii="Arial" w:cs="Arial" w:eastAsia="Arial" w:hAnsi="Arial"/>
          <w:b/>
          <w:bCs/>
          <w:color w:val="2E75B6"/>
          <w:sz w:val="22"/>
          <w:szCs w:val="22"/>
        </w:rPr>
        <w:t xml:space="preserve">HINormer</w:t>
      </w:r>
      <w:r>
        <w:rPr>
          <w:rFonts w:ascii="Arial" w:cs="Arial" w:eastAsia="Arial" w:hAnsi="Arial"/>
          <w:color w:val="333333"/>
          <w:sz w:val="22"/>
          <w:szCs w:val="22"/>
        </w:rPr>
        <w:t xml:space="preserve"> (Heterogeneous Information Network Transformer) for heterogeneous node types — achieved highest F-scores on both small and large-scale claims datasets.</w:t>
      </w:r>
    </w:p>
    <w:p>
      <w:pPr>
        <w:spacing w:after="100" w:before="60"/>
      </w:pPr>
      <w:r>
        <w:rPr>
          <w:rFonts w:ascii="Arial" w:cs="Arial" w:eastAsia="Arial" w:hAnsi="Arial"/>
          <w:color w:val="333333"/>
          <w:sz w:val="22"/>
          <w:szCs w:val="22"/>
        </w:rPr>
        <w:t xml:space="preserve">The GNN computes a suspicion embedding for every entity and propagates scores through the network — a single new fraudulent claim can elevate scores for all connected entities.</w:t>
      </w:r>
    </w:p>
    <w:p>
      <w:pPr>
        <w:spacing w:after="100" w:before="60"/>
      </w:pPr>
      <w:r>
        <w:rPr>
          <w:rFonts w:ascii="Arial" w:cs="Arial" w:eastAsia="Arial" w:hAnsi="Arial"/>
          <w:b/>
          <w:bCs/>
          <w:color w:val="2E75B6"/>
          <w:sz w:val="22"/>
          <w:szCs w:val="22"/>
        </w:rPr>
        <w:t xml:space="preserve">Class imbalance: </w:t>
      </w:r>
      <w:r>
        <w:rPr>
          <w:rFonts w:ascii="Arial" w:cs="Arial" w:eastAsia="Arial" w:hAnsi="Arial"/>
          <w:color w:val="333333"/>
          <w:sz w:val="22"/>
          <w:szCs w:val="22"/>
        </w:rPr>
        <w:t xml:space="preserve">SMOTE + ADASYN applied at training time (not inference). VAE/GAN synthetic minority generation for rare ring patterns.</w:t>
      </w:r>
    </w:p>
    <w:p>
      <w:pPr>
        <w:pStyle w:val="Heading3"/>
        <w:spacing w:after="80" w:before="200"/>
      </w:pPr>
      <w:r>
        <w:rPr>
          <w:rFonts w:ascii="Arial" w:cs="Arial" w:eastAsia="Arial" w:hAnsi="Arial"/>
          <w:b/>
          <w:bCs/>
          <w:color w:val="4B5563"/>
          <w:sz w:val="22"/>
          <w:szCs w:val="22"/>
        </w:rPr>
        <w:t xml:space="preserve">Layer 3 — GraphRAG Reasoning (LLM-powered explanation)</w:t>
      </w:r>
    </w:p>
    <w:p>
      <w:pPr>
        <w:spacing w:after="100" w:before="60"/>
      </w:pPr>
      <w:r>
        <w:rPr>
          <w:rFonts w:ascii="Arial" w:cs="Arial" w:eastAsia="Arial" w:hAnsi="Arial"/>
          <w:color w:val="333333"/>
          <w:sz w:val="22"/>
          <w:szCs w:val="22"/>
        </w:rPr>
        <w:t xml:space="preserve">When a ring is flagged for human review, the GraphRAG layer retrieves the subgraph of connected entities, retrieves analogous historical fraud ring cases from the vector knowledge base, and generates a natural-language reasoning trace.</w:t>
      </w:r>
    </w:p>
    <w:p>
      <w:pPr>
        <w:spacing w:after="100" w:before="60"/>
      </w:pPr>
      <w:r>
        <w:rPr>
          <w:rFonts w:ascii="Arial" w:cs="Arial" w:eastAsia="Arial" w:hAnsi="Arial"/>
          <w:color w:val="333333"/>
          <w:sz w:val="22"/>
          <w:szCs w:val="22"/>
        </w:rPr>
        <w:t xml:space="preserve">Example: </w:t>
      </w:r>
      <w:r>
        <w:rPr>
          <w:rFonts w:ascii="Arial" w:cs="Arial" w:eastAsia="Arial" w:hAnsi="Arial"/>
          <w:color w:val="4B5563"/>
          <w:sz w:val="22"/>
          <w:szCs w:val="22"/>
        </w:rPr>
        <w:t xml:space="preserve">"This ring shares structural patterns with Ring #FR-2023-0047, in which the same law firm appeared across claims in non-contiguous jurisdictions."</w:t>
      </w:r>
    </w:p>
    <w:p>
      <w:pPr>
        <w:spacing w:after="100" w:before="60"/>
      </w:pPr>
      <w:r>
        <w:rPr>
          <w:rFonts w:ascii="Arial" w:cs="Arial" w:eastAsia="Arial" w:hAnsi="Arial"/>
          <w:color w:val="333333"/>
          <w:sz w:val="22"/>
          <w:szCs w:val="22"/>
        </w:rPr>
        <w:t xml:space="preserve">Rather than a binary fraud/no-fraud label, the system produces natural language explanations — building investigator trust and aiding compliance with regulations.</w:t>
      </w:r>
    </w:p>
    <w:p>
      <w:pPr>
        <w:pStyle w:val="Heading2"/>
        <w:spacing w:after="120" w:before="280"/>
      </w:pPr>
      <w:r>
        <w:rPr>
          <w:rFonts w:ascii="Arial" w:cs="Arial" w:eastAsia="Arial" w:hAnsi="Arial"/>
          <w:b/>
          <w:bCs/>
          <w:color w:val="2E75B6"/>
          <w:sz w:val="26"/>
          <w:szCs w:val="26"/>
        </w:rPr>
        <w:t xml:space="preserve">4.4 Imbalanced Data Strategy</w:t>
      </w:r>
    </w:p>
    <w:p>
      <w:pPr>
        <w:spacing w:after="100" w:before="60"/>
      </w:pPr>
      <w:r>
        <w:rPr>
          <w:rFonts w:ascii="Arial" w:cs="Arial" w:eastAsia="Arial" w:hAnsi="Arial"/>
          <w:color w:val="333333"/>
          <w:sz w:val="22"/>
          <w:szCs w:val="22"/>
        </w:rPr>
        <w:t xml:space="preserve">Fraud cases are rare relative to legitimate claims. A hybrid approach combining generative models (VAEs, GANs, Diffusion Models) with ensemble classifiers (XGBoost, Random Forest, LightGBM) and oversampling techniques (SMOTE and ADASYN) achieves substantially better performance. Synthetic minority oversampling must be applied at training time, not at inference.</w:t>
      </w:r>
    </w:p>
    <w:p>
      <w:pPr>
        <w:pStyle w:val="Heading2"/>
        <w:spacing w:after="120" w:before="280"/>
      </w:pPr>
      <w:r>
        <w:rPr>
          <w:rFonts w:ascii="Arial" w:cs="Arial" w:eastAsia="Arial" w:hAnsi="Arial"/>
          <w:b/>
          <w:bCs/>
          <w:color w:val="2E75B6"/>
          <w:sz w:val="26"/>
          <w:szCs w:val="26"/>
        </w:rPr>
        <w:t xml:space="preserve">4.5 Explainability Layer</w:t>
      </w:r>
    </w:p>
    <w:p>
      <w:pPr>
        <w:spacing w:after="100" w:before="60"/>
      </w:pPr>
      <w:r>
        <w:rPr>
          <w:rFonts w:ascii="Arial" w:cs="Arial" w:eastAsia="Arial" w:hAnsi="Arial"/>
          <w:color w:val="333333"/>
          <w:sz w:val="22"/>
          <w:szCs w:val="22"/>
        </w:rPr>
        <w:t xml:space="preserve">Every GNN prediction is accompanied by explanations generated via GNNExplainer or PGExplainer, which provide insights into the models' decision-making processes, allowing critical factors behind predictions to be identified. This output feeds directly into the investigator's Reasoning Trace panel.</w:t>
      </w:r>
    </w:p>
    <w:p>
      <w:pPr>
        <w:spacing w:after="0" w:before="120"/>
      </w:pPr>
    </w:p>
    <w:p>
      <w:pPr>
        <w:pStyle w:val="Heading1"/>
        <w:spacing w:after="160" w:before="360"/>
      </w:pPr>
      <w:r>
        <w:rPr>
          <w:rFonts w:ascii="Arial" w:cs="Arial" w:eastAsia="Arial" w:hAnsi="Arial"/>
          <w:b/>
          <w:bCs/>
          <w:color w:val="0D1B2A"/>
          <w:sz w:val="32"/>
          <w:szCs w:val="32"/>
        </w:rPr>
        <w:t xml:space="preserve">5. Graph Data Model — Node Reference</w:t>
      </w:r>
    </w:p>
    <w:p>
      <w:pPr>
        <w:spacing w:after="100" w:before="60"/>
      </w:pPr>
      <w:r>
        <w:rPr>
          <w:rFonts w:ascii="Arial" w:cs="Arial" w:eastAsia="Arial" w:hAnsi="Arial"/>
          <w:b/>
          <w:bCs/>
          <w:color w:val="2E75B6"/>
          <w:sz w:val="22"/>
          <w:szCs w:val="22"/>
        </w:rPr>
        <w:t xml:space="preserve">14,292 total nodes  ·  28,690 edges  ·  941 properties  ·  24 node types  ·  28 edge types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960"/>
        <w:gridCol w:w="6600"/>
      </w:tblGrid>
      <w:tr>
        <w:trPr>
          <w:tblHeader/>
        </w:trPr>
        <w:tc>
          <w:tcPr>
            <w:tcW w:type="dxa" w:w="18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pPr>
              <w:spacing w:after="40" w:before="40"/>
              <w:jc w:val="left"/>
            </w:pPr>
            <w:r>
              <w:rPr>
                <w:rFonts w:ascii="Arial" w:cs="Arial" w:eastAsia="Arial" w:hAnsi="Arial"/>
                <w:b/>
                <w:bCs/>
                <w:color w:val="FFFFFF"/>
                <w:sz w:val="20"/>
                <w:szCs w:val="20"/>
              </w:rPr>
              <w:t xml:space="preserve">Node Type</w:t>
            </w:r>
          </w:p>
        </w:tc>
        <w:tc>
          <w:tcPr>
            <w:tcW w:type="dxa" w:w="96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pPr>
              <w:spacing w:after="40" w:before="40"/>
              <w:jc w:val="left"/>
            </w:pPr>
            <w:r>
              <w:rPr>
                <w:rFonts w:ascii="Arial" w:cs="Arial" w:eastAsia="Arial" w:hAnsi="Arial"/>
                <w:b/>
                <w:bCs/>
                <w:color w:val="FFFFFF"/>
                <w:sz w:val="20"/>
                <w:szCs w:val="20"/>
              </w:rPr>
              <w:t xml:space="preserve">Count</w:t>
            </w:r>
          </w:p>
        </w:tc>
        <w:tc>
          <w:tcPr>
            <w:tcW w:type="dxa" w:w="66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pPr>
              <w:spacing w:after="40" w:before="40"/>
              <w:jc w:val="left"/>
            </w:pPr>
            <w:r>
              <w:rPr>
                <w:rFonts w:ascii="Arial" w:cs="Arial" w:eastAsia="Arial" w:hAnsi="Arial"/>
                <w:b/>
                <w:bCs/>
                <w:color w:val="FFFFFF"/>
                <w:sz w:val="20"/>
                <w:szCs w:val="20"/>
              </w:rPr>
              <w:t xml:space="preserve">Key Properties &amp; Fraud Signals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color w:val="222222"/>
                <w:sz w:val="20"/>
                <w:szCs w:val="20"/>
              </w:rPr>
              <w:t xml:space="preserve">Customer</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color w:val="222222"/>
                <w:sz w:val="20"/>
                <w:szCs w:val="20"/>
              </w:rPr>
              <w:t xml:space="preserve">1,000</w:t>
            </w:r>
          </w:p>
        </w:tc>
        <w:tc>
          <w:tcPr>
            <w:tcW w:type="dxa" w:w="6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color w:val="222222"/>
                <w:sz w:val="20"/>
                <w:szCs w:val="20"/>
              </w:rPr>
              <w:t xml:space="preserve">Identity resolution: SSN hash, device ID, IP fingerprint, bank account hash. Fraud signals: shared_phone_flag, shared_bank_flag, synthetic_identity_flag, role_switching_flag. KYC status, credit score estimate, churn risk score. 109 total properties.</w:t>
            </w:r>
          </w:p>
        </w:tc>
      </w:tr>
      <w:tr>
        <w:tc>
          <w:tcPr>
            <w:tcW w:type="dxa" w:w="180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pPr>
              <w:spacing w:after="40" w:before="40"/>
              <w:jc w:val="left"/>
            </w:pPr>
            <w:r>
              <w:rPr>
                <w:rFonts w:ascii="Arial" w:cs="Arial" w:eastAsia="Arial" w:hAnsi="Arial"/>
                <w:color w:val="222222"/>
                <w:sz w:val="20"/>
                <w:szCs w:val="20"/>
              </w:rPr>
              <w:t xml:space="preserve">Claim</w:t>
            </w:r>
          </w:p>
        </w:tc>
        <w:tc>
          <w:tcPr>
            <w:tcW w:type="dxa" w:w="96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pPr>
              <w:spacing w:after="40" w:before="40"/>
              <w:jc w:val="left"/>
            </w:pPr>
            <w:r>
              <w:rPr>
                <w:rFonts w:ascii="Arial" w:cs="Arial" w:eastAsia="Arial" w:hAnsi="Arial"/>
                <w:color w:val="222222"/>
                <w:sz w:val="20"/>
                <w:szCs w:val="20"/>
              </w:rPr>
              <w:t xml:space="preserve">1,000</w:t>
            </w:r>
          </w:p>
        </w:tc>
        <w:tc>
          <w:tcPr>
            <w:tcW w:type="dxa" w:w="660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pPr>
              <w:spacing w:after="40" w:before="40"/>
              <w:jc w:val="left"/>
            </w:pPr>
            <w:r>
              <w:rPr>
                <w:rFonts w:ascii="Arial" w:cs="Arial" w:eastAsia="Arial" w:hAnsi="Arial"/>
                <w:color w:val="222222"/>
                <w:sz w:val="20"/>
                <w:szCs w:val="20"/>
              </w:rPr>
              <w:t xml:space="preserve">Geo coordinates (lat/lng), cluster ID, ring_member_flag. Fraud signals: staged_accident_flag, claim_padding_flag, closed_loop_flag. AI outputs: rag_confidence_score, llm_judge_verdict, rubric score. Manual override trigger + reasons. 111 total properties.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color w:val="222222"/>
                <w:sz w:val="20"/>
                <w:szCs w:val="20"/>
              </w:rPr>
              <w:t xml:space="preserve">FraudRing</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color w:val="222222"/>
                <w:sz w:val="20"/>
                <w:szCs w:val="20"/>
              </w:rPr>
              <w:t xml:space="preserve">20</w:t>
            </w:r>
          </w:p>
        </w:tc>
        <w:tc>
          <w:tcPr>
            <w:tcW w:type="dxa" w:w="6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color w:val="222222"/>
                <w:sz w:val="20"/>
                <w:szCs w:val="20"/>
              </w:rPr>
              <w:t xml:space="preserve">ring_score, status (Confirmed / Suspected / Under Watch), member_count, total_claim_amount, detection_method, closed_loop_detected, law_enforcement_notified, nicb_case_filed, estimated_total_loss. 30 total properties.</w:t>
            </w:r>
          </w:p>
        </w:tc>
      </w:tr>
      <w:tr>
        <w:tc>
          <w:tcPr>
            <w:tcW w:type="dxa" w:w="180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pPr>
              <w:spacing w:after="40" w:before="40"/>
              <w:jc w:val="left"/>
            </w:pPr>
            <w:r>
              <w:rPr>
                <w:rFonts w:ascii="Arial" w:cs="Arial" w:eastAsia="Arial" w:hAnsi="Arial"/>
                <w:color w:val="222222"/>
                <w:sz w:val="20"/>
                <w:szCs w:val="20"/>
              </w:rPr>
              <w:t xml:space="preserve">Witness</w:t>
            </w:r>
          </w:p>
        </w:tc>
        <w:tc>
          <w:tcPr>
            <w:tcW w:type="dxa" w:w="96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pPr>
              <w:spacing w:after="40" w:before="40"/>
              <w:jc w:val="left"/>
            </w:pPr>
            <w:r>
              <w:rPr>
                <w:rFonts w:ascii="Arial" w:cs="Arial" w:eastAsia="Arial" w:hAnsi="Arial"/>
                <w:color w:val="222222"/>
                <w:sz w:val="20"/>
                <w:szCs w:val="20"/>
              </w:rPr>
              <w:t xml:space="preserve">1,487</w:t>
            </w:r>
          </w:p>
        </w:tc>
        <w:tc>
          <w:tcPr>
            <w:tcW w:type="dxa" w:w="660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pPr>
              <w:spacing w:after="40" w:before="40"/>
              <w:jc w:val="left"/>
            </w:pPr>
            <w:r>
              <w:rPr>
                <w:rFonts w:ascii="Arial" w:cs="Arial" w:eastAsia="Arial" w:hAnsi="Arial"/>
                <w:color w:val="222222"/>
                <w:sz w:val="20"/>
                <w:szCs w:val="20"/>
              </w:rPr>
              <w:t xml:space="preserve">Parsed from raw police statements. professional_witness_flag (3+ claims), same_phone_claims_count, coached_statement_flag, reliability_score, prior_testimony_count, deposition_ready. 42 total properties.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color w:val="222222"/>
                <w:sz w:val="20"/>
                <w:szCs w:val="20"/>
              </w:rPr>
              <w:t xml:space="preserve">InvestigationCase</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color w:val="222222"/>
                <w:sz w:val="20"/>
                <w:szCs w:val="20"/>
              </w:rPr>
              <w:t xml:space="preserve">876</w:t>
            </w:r>
          </w:p>
        </w:tc>
        <w:tc>
          <w:tcPr>
            <w:tcW w:type="dxa" w:w="6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color w:val="222222"/>
                <w:sz w:val="20"/>
                <w:szCs w:val="20"/>
              </w:rPr>
              <w:t xml:space="preserve">ai_fraud_score, explanation_trace_id, rag_evidence_nodes, manual_override_triggered, evidence_collected, recovery_initiated, nicb_case_filed, law_enforcement_notified. 33 total properties.</w:t>
            </w:r>
          </w:p>
        </w:tc>
      </w:tr>
      <w:tr>
        <w:tc>
          <w:tcPr>
            <w:tcW w:type="dxa" w:w="180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pPr>
              <w:spacing w:after="40" w:before="40"/>
              <w:jc w:val="left"/>
            </w:pPr>
            <w:r>
              <w:rPr>
                <w:rFonts w:ascii="Arial" w:cs="Arial" w:eastAsia="Arial" w:hAnsi="Arial"/>
                <w:color w:val="222222"/>
                <w:sz w:val="20"/>
                <w:szCs w:val="20"/>
              </w:rPr>
              <w:t xml:space="preserve">HumanReview</w:t>
            </w:r>
          </w:p>
        </w:tc>
        <w:tc>
          <w:tcPr>
            <w:tcW w:type="dxa" w:w="96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pPr>
              <w:spacing w:after="40" w:before="40"/>
              <w:jc w:val="left"/>
            </w:pPr>
            <w:r>
              <w:rPr>
                <w:rFonts w:ascii="Arial" w:cs="Arial" w:eastAsia="Arial" w:hAnsi="Arial"/>
                <w:color w:val="222222"/>
                <w:sz w:val="20"/>
                <w:szCs w:val="20"/>
              </w:rPr>
              <w:t xml:space="preserve">570</w:t>
            </w:r>
          </w:p>
        </w:tc>
        <w:tc>
          <w:tcPr>
            <w:tcW w:type="dxa" w:w="660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pPr>
              <w:spacing w:after="40" w:before="40"/>
              <w:jc w:val="left"/>
            </w:pPr>
            <w:r>
              <w:rPr>
                <w:rFonts w:ascii="Arial" w:cs="Arial" w:eastAsia="Arial" w:hAnsi="Arial"/>
                <w:color w:val="222222"/>
                <w:sz w:val="20"/>
                <w:szCs w:val="20"/>
              </w:rPr>
              <w:t xml:space="preserve">decision, decision_confidence, override_ai_recommendation, disagreement_flag, override_reason_code (OVR-001..004), review_time_seconds, feedback_to_model (Correct / FP / FN). 27 total properties.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color w:val="222222"/>
                <w:sz w:val="20"/>
                <w:szCs w:val="20"/>
              </w:rPr>
              <w:t xml:space="preserve">NetworkFeature</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color w:val="222222"/>
                <w:sz w:val="20"/>
                <w:szCs w:val="20"/>
              </w:rPr>
              <w:t xml:space="preserve">2,000</w:t>
            </w:r>
          </w:p>
        </w:tc>
        <w:tc>
          <w:tcPr>
            <w:tcW w:type="dxa" w:w="6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color w:val="222222"/>
                <w:sz w:val="20"/>
                <w:szCs w:val="20"/>
              </w:rPr>
              <w:t xml:space="preserve">Per-entity graph metrics: degree_centrality, betweenness_centrality, pagerank_score, community_id, ring_suspicion_score, neighbor_fraud_rate, hop_2_fraud_count. 17 total properties.</w:t>
            </w:r>
          </w:p>
        </w:tc>
      </w:tr>
      <w:tr>
        <w:tc>
          <w:tcPr>
            <w:tcW w:type="dxa" w:w="180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pPr>
              <w:spacing w:after="40" w:before="40"/>
              <w:jc w:val="left"/>
            </w:pPr>
            <w:r>
              <w:rPr>
                <w:rFonts w:ascii="Arial" w:cs="Arial" w:eastAsia="Arial" w:hAnsi="Arial"/>
                <w:color w:val="222222"/>
                <w:sz w:val="20"/>
                <w:szCs w:val="20"/>
              </w:rPr>
              <w:t xml:space="preserve">Event</w:t>
            </w:r>
          </w:p>
        </w:tc>
        <w:tc>
          <w:tcPr>
            <w:tcW w:type="dxa" w:w="96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pPr>
              <w:spacing w:after="40" w:before="40"/>
              <w:jc w:val="left"/>
            </w:pPr>
            <w:r>
              <w:rPr>
                <w:rFonts w:ascii="Arial" w:cs="Arial" w:eastAsia="Arial" w:hAnsi="Arial"/>
                <w:color w:val="222222"/>
                <w:sz w:val="20"/>
                <w:szCs w:val="20"/>
              </w:rPr>
              <w:t xml:space="preserve">1,000</w:t>
            </w:r>
          </w:p>
        </w:tc>
        <w:tc>
          <w:tcPr>
            <w:tcW w:type="dxa" w:w="660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pPr>
              <w:spacing w:after="40" w:before="40"/>
              <w:jc w:val="left"/>
            </w:pPr>
            <w:r>
              <w:rPr>
                <w:rFonts w:ascii="Arial" w:cs="Arial" w:eastAsia="Arial" w:hAnsi="Arial"/>
                <w:color w:val="222222"/>
                <w:sz w:val="20"/>
                <w:szCs w:val="20"/>
              </w:rPr>
              <w:t xml:space="preserve">Single incident event node linking Claim + Witness + MedicalReport. event_type, geo_coordinates, severity, weather, ring_member, cluster_id. Enables multi-party fraud detection. 23 total properties.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color w:val="222222"/>
                <w:sz w:val="20"/>
                <w:szCs w:val="20"/>
              </w:rPr>
              <w:t xml:space="preserve">FinancialTransaction</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color w:val="222222"/>
                <w:sz w:val="20"/>
                <w:szCs w:val="20"/>
              </w:rPr>
              <w:t xml:space="preserve">1,516</w:t>
            </w:r>
          </w:p>
        </w:tc>
        <w:tc>
          <w:tcPr>
            <w:tcW w:type="dxa" w:w="6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color w:val="222222"/>
                <w:sz w:val="20"/>
                <w:szCs w:val="20"/>
              </w:rPr>
              <w:t xml:space="preserve">payment_channel, is_shared_account_flag, routing_number_hash, velocity_flag, round_amount_flag, suspicious_timing_flag. Full financial trail linking ring members. 25 total properties.</w:t>
            </w:r>
          </w:p>
        </w:tc>
      </w:tr>
      <w:tr>
        <w:tc>
          <w:tcPr>
            <w:tcW w:type="dxa" w:w="180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pPr>
              <w:spacing w:after="40" w:before="40"/>
              <w:jc w:val="left"/>
            </w:pPr>
            <w:r>
              <w:rPr>
                <w:rFonts w:ascii="Arial" w:cs="Arial" w:eastAsia="Arial" w:hAnsi="Arial"/>
                <w:color w:val="222222"/>
                <w:sz w:val="20"/>
                <w:szCs w:val="20"/>
              </w:rPr>
              <w:t xml:space="preserve">MedicalReport</w:t>
            </w:r>
          </w:p>
        </w:tc>
        <w:tc>
          <w:tcPr>
            <w:tcW w:type="dxa" w:w="96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pPr>
              <w:spacing w:after="40" w:before="40"/>
              <w:jc w:val="left"/>
            </w:pPr>
            <w:r>
              <w:rPr>
                <w:rFonts w:ascii="Arial" w:cs="Arial" w:eastAsia="Arial" w:hAnsi="Arial"/>
                <w:color w:val="222222"/>
                <w:sz w:val="20"/>
                <w:szCs w:val="20"/>
              </w:rPr>
              <w:t xml:space="preserve">992</w:t>
            </w:r>
          </w:p>
        </w:tc>
        <w:tc>
          <w:tcPr>
            <w:tcW w:type="dxa" w:w="660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pPr>
              <w:spacing w:after="40" w:before="40"/>
              <w:jc w:val="left"/>
            </w:pPr>
            <w:r>
              <w:rPr>
                <w:rFonts w:ascii="Arial" w:cs="Arial" w:eastAsia="Arial" w:hAnsi="Arial"/>
                <w:color w:val="222222"/>
                <w:sz w:val="20"/>
                <w:szCs w:val="20"/>
              </w:rPr>
              <w:t xml:space="preserve">ICD-10 code, body region, upcoding_flag, unbundling_flag, phantom_billing_flag, billing_pattern_score, medical_necessity_score, provider_npi. 48 total properties.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color w:val="222222"/>
                <w:sz w:val="20"/>
                <w:szCs w:val="20"/>
              </w:rPr>
              <w:t xml:space="preserve">Policy</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color w:val="222222"/>
                <w:sz w:val="20"/>
                <w:szCs w:val="20"/>
              </w:rPr>
              <w:t xml:space="preserve">1,000</w:t>
            </w:r>
          </w:p>
        </w:tc>
        <w:tc>
          <w:tcPr>
            <w:tcW w:type="dxa" w:w="6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color w:val="222222"/>
                <w:sz w:val="20"/>
                <w:szCs w:val="20"/>
              </w:rPr>
              <w:t xml:space="preserve">coverage_csl, deductible, annual_premium, umbrella_limit, endorsements, renewal_count, discount_types, prior_carrier. 36 total properties.</w:t>
            </w:r>
          </w:p>
        </w:tc>
      </w:tr>
      <w:tr>
        <w:tc>
          <w:tcPr>
            <w:tcW w:type="dxa" w:w="180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pPr>
              <w:spacing w:after="40" w:before="40"/>
              <w:jc w:val="left"/>
            </w:pPr>
            <w:r>
              <w:rPr>
                <w:rFonts w:ascii="Arial" w:cs="Arial" w:eastAsia="Arial" w:hAnsi="Arial"/>
                <w:color w:val="222222"/>
                <w:sz w:val="20"/>
                <w:szCs w:val="20"/>
              </w:rPr>
              <w:t xml:space="preserve">Vehicle</w:t>
            </w:r>
          </w:p>
        </w:tc>
        <w:tc>
          <w:tcPr>
            <w:tcW w:type="dxa" w:w="96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pPr>
              <w:spacing w:after="40" w:before="40"/>
              <w:jc w:val="left"/>
            </w:pPr>
            <w:r>
              <w:rPr>
                <w:rFonts w:ascii="Arial" w:cs="Arial" w:eastAsia="Arial" w:hAnsi="Arial"/>
                <w:color w:val="222222"/>
                <w:sz w:val="20"/>
                <w:szCs w:val="20"/>
              </w:rPr>
              <w:t xml:space="preserve">1,000</w:t>
            </w:r>
          </w:p>
        </w:tc>
        <w:tc>
          <w:tcPr>
            <w:tcW w:type="dxa" w:w="660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pPr>
              <w:spacing w:after="40" w:before="40"/>
              <w:jc w:val="left"/>
            </w:pPr>
            <w:r>
              <w:rPr>
                <w:rFonts w:ascii="Arial" w:cs="Arial" w:eastAsia="Arial" w:hAnsi="Arial"/>
                <w:color w:val="222222"/>
                <w:sz w:val="20"/>
                <w:szCs w:val="20"/>
              </w:rPr>
              <w:t xml:space="preserve">vin_hash, odometer_estimate, telematics_risk_score, auction_sourced_flag, previous_owners_count, safety_rating_nhtsa, open_recalls. 48 total properties.</w:t>
            </w:r>
          </w:p>
        </w:tc>
      </w:tr>
    </w:tbl>
    <w:p>
      <w:pPr>
        <w:spacing w:after="0" w:before="120"/>
      </w:pPr>
    </w:p>
    <w:p>
      <w:pPr>
        <w:pStyle w:val="Heading1"/>
        <w:spacing w:after="160" w:before="360"/>
      </w:pPr>
      <w:r>
        <w:rPr>
          <w:rFonts w:ascii="Arial" w:cs="Arial" w:eastAsia="Arial" w:hAnsi="Arial"/>
          <w:b/>
          <w:bCs/>
          <w:color w:val="0D1B2A"/>
          <w:sz w:val="32"/>
          <w:szCs w:val="32"/>
        </w:rPr>
        <w:t xml:space="preserve">6. Human-in-the-Loop (HITL) Framework</w:t>
      </w:r>
    </w:p>
    <w:p>
      <w:pPr>
        <w:spacing w:after="100" w:before="60"/>
      </w:pPr>
      <w:r>
        <w:rPr>
          <w:rFonts w:ascii="Arial" w:cs="Arial" w:eastAsia="Arial" w:hAnsi="Arial"/>
          <w:b/>
          <w:bCs/>
          <w:color w:val="0D1B2A"/>
          <w:sz w:val="22"/>
          <w:szCs w:val="22"/>
        </w:rPr>
        <w:t xml:space="preserve">The HITL framework is not an afterthought — it is a core design constraint.</w:t>
      </w:r>
      <w:r>
        <w:rPr>
          <w:rFonts w:ascii="Arial" w:cs="Arial" w:eastAsia="Arial" w:hAnsi="Arial"/>
          <w:color w:val="333333"/>
          <w:sz w:val="22"/>
          <w:szCs w:val="22"/>
        </w:rPr>
        <w:t xml:space="preserve"> The system is an investigative intelligence tool, not a decision-making system.</w:t>
      </w:r>
    </w:p>
    <w:p>
      <w:pPr>
        <w:pStyle w:val="Heading2"/>
        <w:spacing w:after="120" w:before="280"/>
      </w:pPr>
      <w:r>
        <w:rPr>
          <w:rFonts w:ascii="Arial" w:cs="Arial" w:eastAsia="Arial" w:hAnsi="Arial"/>
          <w:b/>
          <w:bCs/>
          <w:color w:val="2E75B6"/>
          <w:sz w:val="26"/>
          <w:szCs w:val="26"/>
        </w:rPr>
        <w:t xml:space="preserve">6.1 Decision Flow</w:t>
      </w:r>
    </w:p>
    <w:p>
      <w:pPr>
        <w:pStyle w:val="ListParagraph"/>
        <w:numPr>
          <w:ilvl w:val="0"/>
          <w:numId w:val="2"/>
        </w:numPr>
        <w:spacing w:after="40" w:before="40"/>
      </w:pPr>
      <w:r>
        <w:rPr>
          <w:rFonts w:ascii="Arial" w:cs="Arial" w:eastAsia="Arial" w:hAnsi="Arial"/>
          <w:color w:val="333333"/>
          <w:sz w:val="22"/>
          <w:szCs w:val="22"/>
        </w:rPr>
        <w:t xml:space="preserve">Claim ingested via FNOL. Graph updated within seconds via Kinesis → Kafka Connector.</w:t>
      </w:r>
    </w:p>
    <w:p>
      <w:pPr>
        <w:pStyle w:val="ListParagraph"/>
        <w:numPr>
          <w:ilvl w:val="0"/>
          <w:numId w:val="2"/>
        </w:numPr>
        <w:spacing w:after="40" w:before="40"/>
      </w:pPr>
      <w:r>
        <w:rPr>
          <w:rFonts w:ascii="Arial" w:cs="Arial" w:eastAsia="Arial" w:hAnsi="Arial"/>
          <w:color w:val="333333"/>
          <w:sz w:val="22"/>
          <w:szCs w:val="22"/>
        </w:rPr>
        <w:t xml:space="preserve">Layer 1 rule engine evaluates immediately. Signal scores computed for all connected entities.</w:t>
      </w:r>
    </w:p>
    <w:p>
      <w:pPr>
        <w:pStyle w:val="ListParagraph"/>
        <w:numPr>
          <w:ilvl w:val="0"/>
          <w:numId w:val="2"/>
        </w:numPr>
        <w:spacing w:after="40" w:before="40"/>
      </w:pPr>
      <w:r>
        <w:rPr>
          <w:rFonts w:ascii="Arial" w:cs="Arial" w:eastAsia="Arial" w:hAnsi="Arial"/>
          <w:color w:val="333333"/>
          <w:sz w:val="22"/>
          <w:szCs w:val="22"/>
        </w:rPr>
        <w:t xml:space="preserve">GNN (GraphSAGE + HINormer) computes suspicion embeddings and propagates scores. 42ms per batch.</w:t>
      </w:r>
    </w:p>
    <w:p>
      <w:pPr>
        <w:pStyle w:val="ListParagraph"/>
        <w:numPr>
          <w:ilvl w:val="0"/>
          <w:numId w:val="2"/>
        </w:numPr>
        <w:spacing w:after="40" w:before="40"/>
      </w:pPr>
      <w:r>
        <w:rPr>
          <w:rFonts w:ascii="Arial" w:cs="Arial" w:eastAsia="Arial" w:hAnsi="Arial"/>
          <w:color w:val="333333"/>
          <w:sz w:val="22"/>
          <w:szCs w:val="22"/>
        </w:rPr>
        <w:t xml:space="preserve">Triage tier assigned: Standard / High Priority / Mandatory Override. Payment hold raised for Override tier.</w:t>
      </w:r>
    </w:p>
    <w:p>
      <w:pPr>
        <w:pStyle w:val="ListParagraph"/>
        <w:numPr>
          <w:ilvl w:val="0"/>
          <w:numId w:val="2"/>
        </w:numPr>
        <w:spacing w:after="40" w:before="40"/>
      </w:pPr>
      <w:r>
        <w:rPr>
          <w:rFonts w:ascii="Arial" w:cs="Arial" w:eastAsia="Arial" w:hAnsi="Arial"/>
          <w:color w:val="333333"/>
          <w:sz w:val="22"/>
          <w:szCs w:val="22"/>
        </w:rPr>
        <w:t xml:space="preserve">GraphRAG fires: LangGraph retrieves subgraph + analogous cases. Claude generates reasoning trace for investigator.</w:t>
      </w:r>
    </w:p>
    <w:p>
      <w:pPr>
        <w:pStyle w:val="ListParagraph"/>
        <w:numPr>
          <w:ilvl w:val="0"/>
          <w:numId w:val="2"/>
        </w:numPr>
        <w:spacing w:after="40" w:before="40"/>
      </w:pPr>
      <w:r>
        <w:rPr>
          <w:rFonts w:ascii="Arial" w:cs="Arial" w:eastAsia="Arial" w:hAnsi="Arial"/>
          <w:color w:val="333333"/>
          <w:sz w:val="22"/>
          <w:szCs w:val="22"/>
        </w:rPr>
        <w:t xml:space="preserve">Investigator reviews the ring, reasoning trace, and evidence. Issues Approve / Dismiss / Escalate with documented reasoning.</w:t>
      </w:r>
    </w:p>
    <w:p>
      <w:pPr>
        <w:pStyle w:val="ListParagraph"/>
        <w:numPr>
          <w:ilvl w:val="0"/>
          <w:numId w:val="2"/>
        </w:numPr>
        <w:spacing w:after="40" w:before="40"/>
      </w:pPr>
      <w:r>
        <w:rPr>
          <w:rFonts w:ascii="Arial" w:cs="Arial" w:eastAsia="Arial" w:hAnsi="Arial"/>
          <w:color w:val="333333"/>
          <w:sz w:val="22"/>
          <w:szCs w:val="22"/>
        </w:rPr>
        <w:t xml:space="preserve">Decision + reasoning feeds the weekly retraining cycle. F1-score delta measured per cycle.</w:t>
      </w:r>
    </w:p>
    <w:p>
      <w:pPr>
        <w:pStyle w:val="Heading2"/>
        <w:spacing w:after="120" w:before="280"/>
      </w:pPr>
      <w:r>
        <w:rPr>
          <w:rFonts w:ascii="Arial" w:cs="Arial" w:eastAsia="Arial" w:hAnsi="Arial"/>
          <w:b/>
          <w:bCs/>
          <w:color w:val="2E75B6"/>
          <w:sz w:val="26"/>
          <w:szCs w:val="26"/>
        </w:rPr>
        <w:t xml:space="preserve">6.2 For Project Leaders</w:t>
      </w:r>
    </w:p>
    <w:p>
      <w:pPr>
        <w:pStyle w:val="ListParagraph"/>
        <w:numPr>
          <w:ilvl w:val="0"/>
          <w:numId w:val="3"/>
        </w:numPr>
        <w:spacing w:after="40" w:before="40"/>
      </w:pPr>
      <w:r>
        <w:rPr>
          <w:rFonts w:ascii="Arial" w:cs="Arial" w:eastAsia="Arial" w:hAnsi="Arial"/>
          <w:color w:val="333333"/>
          <w:sz w:val="22"/>
          <w:szCs w:val="22"/>
        </w:rPr>
        <w:t xml:space="preserve">Enforce that no automated action is taken without a named investigator signature.</w:t>
      </w:r>
    </w:p>
    <w:p>
      <w:pPr>
        <w:pStyle w:val="ListParagraph"/>
        <w:numPr>
          <w:ilvl w:val="0"/>
          <w:numId w:val="3"/>
        </w:numPr>
        <w:spacing w:after="40" w:before="40"/>
      </w:pPr>
      <w:r>
        <w:rPr>
          <w:rFonts w:ascii="Arial" w:cs="Arial" w:eastAsia="Arial" w:hAnsi="Arial"/>
          <w:color w:val="333333"/>
          <w:sz w:val="22"/>
          <w:szCs w:val="22"/>
        </w:rPr>
        <w:t xml:space="preserve">Monitor feedback quality — teams should not be 'clicking through' but providing reasoning for every Approve/Dismiss decision.</w:t>
      </w:r>
    </w:p>
    <w:p>
      <w:pPr>
        <w:pStyle w:val="ListParagraph"/>
        <w:numPr>
          <w:ilvl w:val="0"/>
          <w:numId w:val="3"/>
        </w:numPr>
        <w:spacing w:after="40" w:before="40"/>
      </w:pPr>
      <w:r>
        <w:rPr>
          <w:rFonts w:ascii="Arial" w:cs="Arial" w:eastAsia="Arial" w:hAnsi="Arial"/>
          <w:color w:val="333333"/>
          <w:sz w:val="22"/>
          <w:szCs w:val="22"/>
        </w:rPr>
        <w:t xml:space="preserve">Invest in the skill transition from 'data hunters' to 'AI validators.'</w:t>
      </w:r>
    </w:p>
    <w:p>
      <w:pPr>
        <w:pStyle w:val="Heading2"/>
        <w:spacing w:after="120" w:before="280"/>
      </w:pPr>
      <w:r>
        <w:rPr>
          <w:rFonts w:ascii="Arial" w:cs="Arial" w:eastAsia="Arial" w:hAnsi="Arial"/>
          <w:b/>
          <w:bCs/>
          <w:color w:val="2E75B6"/>
          <w:sz w:val="26"/>
          <w:szCs w:val="26"/>
        </w:rPr>
        <w:t xml:space="preserve">6.3 For Investigators</w:t>
      </w:r>
    </w:p>
    <w:p>
      <w:pPr>
        <w:spacing w:after="100" w:before="60"/>
      </w:pPr>
      <w:r>
        <w:rPr>
          <w:rFonts w:ascii="Arial" w:cs="Arial" w:eastAsia="Arial" w:hAnsi="Arial"/>
          <w:color w:val="333333"/>
          <w:sz w:val="22"/>
          <w:szCs w:val="22"/>
        </w:rPr>
        <w:t xml:space="preserve">You are the final authority. If the AI surfaces a connection your experience tells you is coincidental, you have both the power and the professional responsibility to override it. Your daily decisions are the training data for the next model version.</w:t>
      </w:r>
    </w:p>
    <w:p>
      <w:pPr>
        <w:spacing w:after="0" w:before="120"/>
      </w:pPr>
    </w:p>
    <w:p>
      <w:pPr>
        <w:pStyle w:val="Heading1"/>
        <w:spacing w:after="160" w:before="360"/>
      </w:pPr>
      <w:r>
        <w:rPr>
          <w:rFonts w:ascii="Arial" w:cs="Arial" w:eastAsia="Arial" w:hAnsi="Arial"/>
          <w:b/>
          <w:bCs/>
          <w:color w:val="0D1B2A"/>
          <w:sz w:val="32"/>
          <w:szCs w:val="32"/>
        </w:rPr>
        <w:t xml:space="preserve">7. Mandatory Override Criteria</w:t>
      </w:r>
    </w:p>
    <w:p>
      <w:pPr>
        <w:spacing w:after="100" w:before="60"/>
      </w:pPr>
      <w:r>
        <w:rPr>
          <w:rFonts w:ascii="Arial" w:cs="Arial" w:eastAsia="Arial" w:hAnsi="Arial"/>
          <w:color w:val="333333"/>
          <w:sz w:val="22"/>
          <w:szCs w:val="22"/>
        </w:rPr>
        <w:t xml:space="preserve">These conditions halt all automated progression. A named senior investigator must review and sign off before any investigative action, payment hold, or vendor contact proceeds.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460"/>
        <w:gridCol w:w="6000"/>
      </w:tblGrid>
      <w:tr>
        <w:trPr>
          <w:tblHeader/>
        </w:trPr>
        <w:tc>
          <w:tcPr>
            <w:tcW w:type="dxa" w:w="9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pPr>
              <w:spacing w:after="40" w:before="40"/>
              <w:jc w:val="left"/>
            </w:pPr>
            <w:r>
              <w:rPr>
                <w:rFonts w:ascii="Arial" w:cs="Arial" w:eastAsia="Arial" w:hAnsi="Arial"/>
                <w:b/>
                <w:bCs/>
                <w:color w:val="FFFFFF"/>
                <w:sz w:val="20"/>
                <w:szCs w:val="20"/>
              </w:rPr>
              <w:t xml:space="preserve">#</w:t>
            </w:r>
          </w:p>
        </w:tc>
        <w:tc>
          <w:tcPr>
            <w:tcW w:type="dxa" w:w="246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pPr>
              <w:spacing w:after="40" w:before="40"/>
              <w:jc w:val="left"/>
            </w:pPr>
            <w:r>
              <w:rPr>
                <w:rFonts w:ascii="Arial" w:cs="Arial" w:eastAsia="Arial" w:hAnsi="Arial"/>
                <w:b/>
                <w:bCs/>
                <w:color w:val="FFFFFF"/>
                <w:sz w:val="20"/>
                <w:szCs w:val="20"/>
              </w:rPr>
              <w:t xml:space="preserve">Trigger</w:t>
            </w:r>
          </w:p>
        </w:tc>
        <w:tc>
          <w:tcPr>
            <w:tcW w:type="dxa" w:w="60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pPr>
              <w:spacing w:after="40" w:before="40"/>
              <w:jc w:val="left"/>
            </w:pPr>
            <w:r>
              <w:rPr>
                <w:rFonts w:ascii="Arial" w:cs="Arial" w:eastAsia="Arial" w:hAnsi="Arial"/>
                <w:b/>
                <w:bCs/>
                <w:color w:val="FFFFFF"/>
                <w:sz w:val="20"/>
                <w:szCs w:val="20"/>
              </w:rPr>
              <w:t xml:space="preserve">Description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color w:val="222222"/>
                <w:sz w:val="20"/>
                <w:szCs w:val="20"/>
              </w:rPr>
              <w:t xml:space="preserve">OVR-001</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color w:val="222222"/>
                <w:sz w:val="20"/>
                <w:szCs w:val="20"/>
              </w:rPr>
              <w:t xml:space="preserve">Suspicion score ≥ 90</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color w:val="222222"/>
                <w:sz w:val="20"/>
                <w:szCs w:val="20"/>
              </w:rPr>
              <w:t xml:space="preserve">Highest scores carry the greatest consequences — both fraud exposure and wrongful accusation risk. Senior investigator sign-off required before any action.</w:t>
            </w:r>
          </w:p>
        </w:tc>
      </w:tr>
      <w:tr>
        <w:tc>
          <w:tcPr>
            <w:tcW w:type="dxa" w:w="90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pPr>
              <w:spacing w:after="40" w:before="40"/>
              <w:jc w:val="left"/>
            </w:pPr>
            <w:r>
              <w:rPr>
                <w:rFonts w:ascii="Arial" w:cs="Arial" w:eastAsia="Arial" w:hAnsi="Arial"/>
                <w:color w:val="222222"/>
                <w:sz w:val="20"/>
                <w:szCs w:val="20"/>
              </w:rPr>
              <w:t xml:space="preserve">OVR-002</w:t>
            </w:r>
          </w:p>
        </w:tc>
        <w:tc>
          <w:tcPr>
            <w:tcW w:type="dxa" w:w="246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pPr>
              <w:spacing w:after="40" w:before="40"/>
              <w:jc w:val="left"/>
            </w:pPr>
            <w:r>
              <w:rPr>
                <w:rFonts w:ascii="Arial" w:cs="Arial" w:eastAsia="Arial" w:hAnsi="Arial"/>
                <w:color w:val="222222"/>
                <w:sz w:val="20"/>
                <w:szCs w:val="20"/>
              </w:rPr>
              <w:t xml:space="preserve">Projected exposure &gt; $75K–$100K</w:t>
            </w:r>
          </w:p>
        </w:tc>
        <w:tc>
          <w:tcPr>
            <w:tcW w:type="dxa" w:w="600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pPr>
              <w:spacing w:after="40" w:before="40"/>
              <w:jc w:val="left"/>
            </w:pPr>
            <w:r>
              <w:rPr>
                <w:rFonts w:ascii="Arial" w:cs="Arial" w:eastAsia="Arial" w:hAnsi="Arial"/>
                <w:color w:val="222222"/>
                <w:sz w:val="20"/>
                <w:szCs w:val="20"/>
              </w:rPr>
              <w:t xml:space="preserve">Dollar thresholds are legally defensible and easy to audit. Carrier-defined ceiling triggers mandatory sign-off on any ring at or above threshold.</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color w:val="222222"/>
                <w:sz w:val="20"/>
                <w:szCs w:val="20"/>
              </w:rPr>
              <w:t xml:space="preserve">OVR-003</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color w:val="222222"/>
                <w:sz w:val="20"/>
                <w:szCs w:val="20"/>
              </w:rPr>
              <w:t xml:space="preserve">Cross-jurisdiction entity overlap</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color w:val="222222"/>
                <w:sz w:val="20"/>
                <w:szCs w:val="20"/>
              </w:rPr>
              <w:t xml:space="preserve">Same attorney, witness, or repair shop across claims in different regulatory jurisdictions. Legal complexity demands senior review before any contact.</w:t>
            </w:r>
          </w:p>
        </w:tc>
      </w:tr>
      <w:tr>
        <w:tc>
          <w:tcPr>
            <w:tcW w:type="dxa" w:w="90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pPr>
              <w:spacing w:after="40" w:before="40"/>
              <w:jc w:val="left"/>
            </w:pPr>
            <w:r>
              <w:rPr>
                <w:rFonts w:ascii="Arial" w:cs="Arial" w:eastAsia="Arial" w:hAnsi="Arial"/>
                <w:color w:val="222222"/>
                <w:sz w:val="20"/>
                <w:szCs w:val="20"/>
              </w:rPr>
              <w:t xml:space="preserve">OVR-004</w:t>
            </w:r>
          </w:p>
        </w:tc>
        <w:tc>
          <w:tcPr>
            <w:tcW w:type="dxa" w:w="246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pPr>
              <w:spacing w:after="40" w:before="40"/>
              <w:jc w:val="left"/>
            </w:pPr>
            <w:r>
              <w:rPr>
                <w:rFonts w:ascii="Arial" w:cs="Arial" w:eastAsia="Arial" w:hAnsi="Arial"/>
                <w:color w:val="222222"/>
                <w:sz w:val="20"/>
                <w:szCs w:val="20"/>
              </w:rPr>
              <w:t xml:space="preserve">Entity from previously dismissed ring</w:t>
            </w:r>
          </w:p>
        </w:tc>
        <w:tc>
          <w:tcPr>
            <w:tcW w:type="dxa" w:w="600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pPr>
              <w:spacing w:after="40" w:before="40"/>
              <w:jc w:val="left"/>
            </w:pPr>
            <w:r>
              <w:rPr>
                <w:rFonts w:ascii="Arial" w:cs="Arial" w:eastAsia="Arial" w:hAnsi="Arial"/>
                <w:color w:val="222222"/>
                <w:sz w:val="20"/>
                <w:szCs w:val="20"/>
              </w:rPr>
              <w:t xml:space="preserve">If an entity was in a dismissed ring, the contradiction must be resolved by a human — model improvement vs. known false positive.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color w:val="222222"/>
                <w:sz w:val="20"/>
                <w:szCs w:val="20"/>
              </w:rPr>
              <w:t xml:space="preserve">OVR-005</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color w:val="222222"/>
                <w:sz w:val="20"/>
                <w:szCs w:val="20"/>
              </w:rPr>
              <w:t xml:space="preserve">Licensed attorney as primary link node</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color w:val="222222"/>
                <w:sz w:val="20"/>
                <w:szCs w:val="20"/>
              </w:rPr>
              <w:t xml:space="preserve">Rings where the primary connecting edge runs through a licensed attorney require mandatory review and legal team consultation.</w:t>
            </w:r>
          </w:p>
        </w:tc>
      </w:tr>
      <w:tr>
        <w:tc>
          <w:tcPr>
            <w:tcW w:type="dxa" w:w="90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pPr>
              <w:spacing w:after="40" w:before="40"/>
              <w:jc w:val="left"/>
            </w:pPr>
            <w:r>
              <w:rPr>
                <w:rFonts w:ascii="Arial" w:cs="Arial" w:eastAsia="Arial" w:hAnsi="Arial"/>
                <w:color w:val="222222"/>
                <w:sz w:val="20"/>
                <w:szCs w:val="20"/>
              </w:rPr>
              <w:t xml:space="preserve">OVR-006</w:t>
            </w:r>
          </w:p>
        </w:tc>
        <w:tc>
          <w:tcPr>
            <w:tcW w:type="dxa" w:w="246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pPr>
              <w:spacing w:after="40" w:before="40"/>
              <w:jc w:val="left"/>
            </w:pPr>
            <w:r>
              <w:rPr>
                <w:rFonts w:ascii="Arial" w:cs="Arial" w:eastAsia="Arial" w:hAnsi="Arial"/>
                <w:color w:val="222222"/>
                <w:sz w:val="20"/>
                <w:szCs w:val="20"/>
              </w:rPr>
              <w:t xml:space="preserve">Vulnerable claimant indicators</w:t>
            </w:r>
          </w:p>
        </w:tc>
        <w:tc>
          <w:tcPr>
            <w:tcW w:type="dxa" w:w="600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pPr>
              <w:spacing w:after="40" w:before="40"/>
              <w:jc w:val="left"/>
            </w:pPr>
            <w:r>
              <w:rPr>
                <w:rFonts w:ascii="Arial" w:cs="Arial" w:eastAsia="Arial" w:hAnsi="Arial"/>
                <w:color w:val="222222"/>
                <w:sz w:val="20"/>
                <w:szCs w:val="20"/>
              </w:rPr>
              <w:t xml:space="preserve">Elderly, recent bereavement, cognitive impairment, language assistance required — mandatory human review before any investigative action.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color w:val="222222"/>
                <w:sz w:val="20"/>
                <w:szCs w:val="20"/>
              </w:rPr>
              <w:t xml:space="preserve">OVR-007</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color w:val="222222"/>
                <w:sz w:val="20"/>
                <w:szCs w:val="20"/>
              </w:rPr>
              <w:t xml:space="preserve">Media or reputational exposure</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color w:val="222222"/>
                <w:sz w:val="20"/>
                <w:szCs w:val="20"/>
              </w:rPr>
              <w:t xml:space="preserve">Public figure, prominent local business, or prior media coverage — requires escalation before any action is taken on the ring.</w:t>
            </w:r>
          </w:p>
        </w:tc>
      </w:tr>
      <w:tr>
        <w:tc>
          <w:tcPr>
            <w:tcW w:type="dxa" w:w="90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pPr>
              <w:spacing w:after="40" w:before="40"/>
              <w:jc w:val="left"/>
            </w:pPr>
            <w:r>
              <w:rPr>
                <w:rFonts w:ascii="Arial" w:cs="Arial" w:eastAsia="Arial" w:hAnsi="Arial"/>
                <w:color w:val="222222"/>
                <w:sz w:val="20"/>
                <w:szCs w:val="20"/>
              </w:rPr>
              <w:t xml:space="preserve">OVR-008</w:t>
            </w:r>
          </w:p>
        </w:tc>
        <w:tc>
          <w:tcPr>
            <w:tcW w:type="dxa" w:w="246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pPr>
              <w:spacing w:after="40" w:before="40"/>
              <w:jc w:val="left"/>
            </w:pPr>
            <w:r>
              <w:rPr>
                <w:rFonts w:ascii="Arial" w:cs="Arial" w:eastAsia="Arial" w:hAnsi="Arial"/>
                <w:color w:val="222222"/>
                <w:sz w:val="20"/>
                <w:szCs w:val="20"/>
              </w:rPr>
              <w:t xml:space="preserve">Prior SIU referral on any linked entity</w:t>
            </w:r>
          </w:p>
        </w:tc>
        <w:tc>
          <w:tcPr>
            <w:tcW w:type="dxa" w:w="600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pPr>
              <w:spacing w:after="40" w:before="40"/>
              <w:jc w:val="left"/>
            </w:pPr>
            <w:r>
              <w:rPr>
                <w:rFonts w:ascii="Arial" w:cs="Arial" w:eastAsia="Arial" w:hAnsi="Arial"/>
                <w:color w:val="222222"/>
                <w:sz w:val="20"/>
                <w:szCs w:val="20"/>
              </w:rPr>
              <w:t xml:space="preserve">Any node in the ring with a prior Special Investigations Unit referral on record — regardless of outcome — automatically triggers mandatory review.</w:t>
            </w:r>
          </w:p>
        </w:tc>
      </w:tr>
    </w:tbl>
    <w:p>
      <w:pPr>
        <w:spacing w:after="0" w:before="120"/>
      </w:pPr>
    </w:p>
    <w:p>
      <w:pPr>
        <w:pStyle w:val="Heading1"/>
        <w:spacing w:after="160" w:before="360"/>
      </w:pPr>
      <w:r>
        <w:rPr>
          <w:rFonts w:ascii="Arial" w:cs="Arial" w:eastAsia="Arial" w:hAnsi="Arial"/>
          <w:b/>
          <w:bCs/>
          <w:color w:val="0D1B2A"/>
          <w:sz w:val="32"/>
          <w:szCs w:val="32"/>
        </w:rPr>
        <w:t xml:space="preserve">8. Technology Stack</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0"/>
        <w:gridCol w:w="2340"/>
        <w:gridCol w:w="5340"/>
      </w:tblGrid>
      <w:tr>
        <w:trPr>
          <w:tblHeader/>
        </w:trPr>
        <w:tc>
          <w:tcPr>
            <w:tcW w:type="dxa" w:w="168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pPr>
              <w:spacing w:after="40" w:before="40"/>
              <w:jc w:val="left"/>
            </w:pPr>
            <w:r>
              <w:rPr>
                <w:rFonts w:ascii="Arial" w:cs="Arial" w:eastAsia="Arial" w:hAnsi="Arial"/>
                <w:b/>
                <w:bCs/>
                <w:color w:val="FFFFFF"/>
                <w:sz w:val="20"/>
                <w:szCs w:val="20"/>
              </w:rPr>
              <w:t xml:space="preserve">Layer</w:t>
            </w:r>
          </w:p>
        </w:tc>
        <w:tc>
          <w:tcPr>
            <w:tcW w:type="dxa" w:w="234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pPr>
              <w:spacing w:after="40" w:before="40"/>
              <w:jc w:val="left"/>
            </w:pPr>
            <w:r>
              <w:rPr>
                <w:rFonts w:ascii="Arial" w:cs="Arial" w:eastAsia="Arial" w:hAnsi="Arial"/>
                <w:b/>
                <w:bCs/>
                <w:color w:val="FFFFFF"/>
                <w:sz w:val="20"/>
                <w:szCs w:val="20"/>
              </w:rPr>
              <w:t xml:space="preserve">Recommended Tool</w:t>
            </w:r>
          </w:p>
        </w:tc>
        <w:tc>
          <w:tcPr>
            <w:tcW w:type="dxa" w:w="534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pPr>
              <w:spacing w:after="40" w:before="40"/>
              <w:jc w:val="left"/>
            </w:pPr>
            <w:r>
              <w:rPr>
                <w:rFonts w:ascii="Arial" w:cs="Arial" w:eastAsia="Arial" w:hAnsi="Arial"/>
                <w:b/>
                <w:bCs/>
                <w:color w:val="FFFFFF"/>
                <w:sz w:val="20"/>
                <w:szCs w:val="20"/>
              </w:rPr>
              <w:t xml:space="preserve">Rationale</w:t>
            </w:r>
          </w:p>
        </w:tc>
      </w:tr>
      <w:tr>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color w:val="222222"/>
                <w:sz w:val="20"/>
                <w:szCs w:val="20"/>
              </w:rPr>
              <w:t xml:space="preserve">Graph DB</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color w:val="222222"/>
                <w:sz w:val="20"/>
                <w:szCs w:val="20"/>
              </w:rPr>
              <w:t xml:space="preserve">Neo4j Aura (GDB + GDS)</w:t>
            </w:r>
          </w:p>
        </w:tc>
        <w:tc>
          <w:tcPr>
            <w:tcW w:type="dxa" w:w="5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color w:val="222222"/>
                <w:sz w:val="20"/>
                <w:szCs w:val="20"/>
              </w:rPr>
              <w:t xml:space="preserve">Native graph storage, Cypher queries, built-in GDS algorithms for PageRank, community detection, shortest path.</w:t>
            </w:r>
          </w:p>
        </w:tc>
      </w:tr>
      <w:tr>
        <w:tc>
          <w:tcPr>
            <w:tcW w:type="dxa" w:w="168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pPr>
              <w:spacing w:after="40" w:before="40"/>
              <w:jc w:val="left"/>
            </w:pPr>
            <w:r>
              <w:rPr>
                <w:rFonts w:ascii="Arial" w:cs="Arial" w:eastAsia="Arial" w:hAnsi="Arial"/>
                <w:color w:val="222222"/>
                <w:sz w:val="20"/>
                <w:szCs w:val="20"/>
              </w:rPr>
              <w:t xml:space="preserve">GNN Framework</w:t>
            </w:r>
          </w:p>
        </w:tc>
        <w:tc>
          <w:tcPr>
            <w:tcW w:type="dxa" w:w="234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pPr>
              <w:spacing w:after="40" w:before="40"/>
              <w:jc w:val="left"/>
            </w:pPr>
            <w:r>
              <w:rPr>
                <w:rFonts w:ascii="Arial" w:cs="Arial" w:eastAsia="Arial" w:hAnsi="Arial"/>
                <w:color w:val="222222"/>
                <w:sz w:val="20"/>
                <w:szCs w:val="20"/>
              </w:rPr>
              <w:t xml:space="preserve">PyTorch Geometric + GraphSAGE / HINormer</w:t>
            </w:r>
          </w:p>
        </w:tc>
        <w:tc>
          <w:tcPr>
            <w:tcW w:type="dxa" w:w="534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pPr>
              <w:spacing w:after="40" w:before="40"/>
              <w:jc w:val="left"/>
            </w:pPr>
            <w:r>
              <w:rPr>
                <w:rFonts w:ascii="Arial" w:cs="Arial" w:eastAsia="Arial" w:hAnsi="Arial"/>
                <w:color w:val="222222"/>
                <w:sz w:val="20"/>
                <w:szCs w:val="20"/>
              </w:rPr>
              <w:t xml:space="preserve">Best-in-class heterogeneous graph support. GraphSAGE handles inductive learning (new nodes without retraining). HINormer leads F-scores on insurance datasets.</w:t>
            </w:r>
          </w:p>
        </w:tc>
      </w:tr>
      <w:tr>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color w:val="222222"/>
                <w:sz w:val="20"/>
                <w:szCs w:val="20"/>
              </w:rPr>
              <w:t xml:space="preserve">Explainability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color w:val="222222"/>
                <w:sz w:val="20"/>
                <w:szCs w:val="20"/>
              </w:rPr>
              <w:t xml:space="preserve">GNNExplainer / PGExplainer</w:t>
            </w:r>
          </w:p>
        </w:tc>
        <w:tc>
          <w:tcPr>
            <w:tcW w:type="dxa" w:w="5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color w:val="222222"/>
                <w:sz w:val="20"/>
                <w:szCs w:val="20"/>
              </w:rPr>
              <w:t xml:space="preserve">Proven on insurance claims datasets. Outputs the critical subgraph edges driving each score — feeds the investigator Reasoning Trace panel.</w:t>
            </w:r>
          </w:p>
        </w:tc>
      </w:tr>
      <w:tr>
        <w:tc>
          <w:tcPr>
            <w:tcW w:type="dxa" w:w="168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pPr>
              <w:spacing w:after="40" w:before="40"/>
              <w:jc w:val="left"/>
            </w:pPr>
            <w:r>
              <w:rPr>
                <w:rFonts w:ascii="Arial" w:cs="Arial" w:eastAsia="Arial" w:hAnsi="Arial"/>
                <w:color w:val="222222"/>
                <w:sz w:val="20"/>
                <w:szCs w:val="20"/>
              </w:rPr>
              <w:t xml:space="preserve">Streaming Ingest</w:t>
            </w:r>
          </w:p>
        </w:tc>
        <w:tc>
          <w:tcPr>
            <w:tcW w:type="dxa" w:w="234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pPr>
              <w:spacing w:after="40" w:before="40"/>
              <w:jc w:val="left"/>
            </w:pPr>
            <w:r>
              <w:rPr>
                <w:rFonts w:ascii="Arial" w:cs="Arial" w:eastAsia="Arial" w:hAnsi="Arial"/>
                <w:color w:val="222222"/>
                <w:sz w:val="20"/>
                <w:szCs w:val="20"/>
              </w:rPr>
              <w:t xml:space="preserve">Amazon Kinesis + Neo4j Kafka Connector</w:t>
            </w:r>
          </w:p>
        </w:tc>
        <w:tc>
          <w:tcPr>
            <w:tcW w:type="dxa" w:w="534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pPr>
              <w:spacing w:after="40" w:before="40"/>
              <w:jc w:val="left"/>
            </w:pPr>
            <w:r>
              <w:rPr>
                <w:rFonts w:ascii="Arial" w:cs="Arial" w:eastAsia="Arial" w:hAnsi="Arial"/>
                <w:color w:val="222222"/>
                <w:sz w:val="20"/>
                <w:szCs w:val="20"/>
              </w:rPr>
              <w:t xml:space="preserve">Sub-second claim-to-graph latency. Enables pre-payment interception before funds leave the carrier.</w:t>
            </w:r>
          </w:p>
        </w:tc>
      </w:tr>
      <w:tr>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color w:val="222222"/>
                <w:sz w:val="20"/>
                <w:szCs w:val="20"/>
              </w:rPr>
              <w:t xml:space="preserve">Batch ETL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color w:val="222222"/>
                <w:sz w:val="20"/>
                <w:szCs w:val="20"/>
              </w:rPr>
              <w:t xml:space="preserve">AWS Glue + EMR</w:t>
            </w:r>
          </w:p>
        </w:tc>
        <w:tc>
          <w:tcPr>
            <w:tcW w:type="dxa" w:w="5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color w:val="222222"/>
                <w:sz w:val="20"/>
                <w:szCs w:val="20"/>
              </w:rPr>
              <w:t xml:space="preserve">Scalable bulk historical load. Handles 3+ years of claims enrichment, vendor registry joins, court record cross-references.</w:t>
            </w:r>
          </w:p>
        </w:tc>
      </w:tr>
      <w:tr>
        <w:tc>
          <w:tcPr>
            <w:tcW w:type="dxa" w:w="168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pPr>
              <w:spacing w:after="40" w:before="40"/>
              <w:jc w:val="left"/>
            </w:pPr>
            <w:r>
              <w:rPr>
                <w:rFonts w:ascii="Arial" w:cs="Arial" w:eastAsia="Arial" w:hAnsi="Arial"/>
                <w:color w:val="222222"/>
                <w:sz w:val="20"/>
                <w:szCs w:val="20"/>
              </w:rPr>
              <w:t xml:space="preserve">Orchestration</w:t>
            </w:r>
          </w:p>
        </w:tc>
        <w:tc>
          <w:tcPr>
            <w:tcW w:type="dxa" w:w="234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pPr>
              <w:spacing w:after="40" w:before="40"/>
              <w:jc w:val="left"/>
            </w:pPr>
            <w:r>
              <w:rPr>
                <w:rFonts w:ascii="Arial" w:cs="Arial" w:eastAsia="Arial" w:hAnsi="Arial"/>
                <w:color w:val="222222"/>
                <w:sz w:val="20"/>
                <w:szCs w:val="20"/>
              </w:rPr>
              <w:t xml:space="preserve">LangGraph</w:t>
            </w:r>
          </w:p>
        </w:tc>
        <w:tc>
          <w:tcPr>
            <w:tcW w:type="dxa" w:w="534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pPr>
              <w:spacing w:after="40" w:before="40"/>
              <w:jc w:val="left"/>
            </w:pPr>
            <w:r>
              <w:rPr>
                <w:rFonts w:ascii="Arial" w:cs="Arial" w:eastAsia="Arial" w:hAnsi="Arial"/>
                <w:color w:val="222222"/>
                <w:sz w:val="20"/>
                <w:szCs w:val="20"/>
              </w:rPr>
              <w:t xml:space="preserve">Multi-step agentic RAG pipeline. Graph traversal → vector retrieval → LLM reasoning in a single auditable chain.</w:t>
            </w:r>
          </w:p>
        </w:tc>
      </w:tr>
      <w:tr>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color w:val="222222"/>
                <w:sz w:val="20"/>
                <w:szCs w:val="20"/>
              </w:rPr>
              <w:t xml:space="preserve">Vector Knowledge Base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color w:val="222222"/>
                <w:sz w:val="20"/>
                <w:szCs w:val="20"/>
              </w:rPr>
              <w:t xml:space="preserve">Pinecone or Weaviate</w:t>
            </w:r>
          </w:p>
        </w:tc>
        <w:tc>
          <w:tcPr>
            <w:tcW w:type="dxa" w:w="5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color w:val="222222"/>
                <w:sz w:val="20"/>
                <w:szCs w:val="20"/>
              </w:rPr>
              <w:t xml:space="preserve">Fast similarity retrieval for analogous historical ring cases. Powers the GraphRAG 'similar ring' reasoning trace.</w:t>
            </w:r>
          </w:p>
        </w:tc>
      </w:tr>
      <w:tr>
        <w:tc>
          <w:tcPr>
            <w:tcW w:type="dxa" w:w="168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pPr>
              <w:spacing w:after="40" w:before="40"/>
              <w:jc w:val="left"/>
            </w:pPr>
            <w:r>
              <w:rPr>
                <w:rFonts w:ascii="Arial" w:cs="Arial" w:eastAsia="Arial" w:hAnsi="Arial"/>
                <w:color w:val="222222"/>
                <w:sz w:val="20"/>
                <w:szCs w:val="20"/>
              </w:rPr>
              <w:t xml:space="preserve">LLM Reasoning</w:t>
            </w:r>
          </w:p>
        </w:tc>
        <w:tc>
          <w:tcPr>
            <w:tcW w:type="dxa" w:w="234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pPr>
              <w:spacing w:after="40" w:before="40"/>
              <w:jc w:val="left"/>
            </w:pPr>
            <w:r>
              <w:rPr>
                <w:rFonts w:ascii="Arial" w:cs="Arial" w:eastAsia="Arial" w:hAnsi="Arial"/>
                <w:color w:val="222222"/>
                <w:sz w:val="20"/>
                <w:szCs w:val="20"/>
              </w:rPr>
              <w:t xml:space="preserve">Claude (Anthropic API)</w:t>
            </w:r>
          </w:p>
        </w:tc>
        <w:tc>
          <w:tcPr>
            <w:tcW w:type="dxa" w:w="534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pPr>
              <w:spacing w:after="40" w:before="40"/>
              <w:jc w:val="left"/>
            </w:pPr>
            <w:r>
              <w:rPr>
                <w:rFonts w:ascii="Arial" w:cs="Arial" w:eastAsia="Arial" w:hAnsi="Arial"/>
                <w:color w:val="222222"/>
                <w:sz w:val="20"/>
                <w:szCs w:val="20"/>
              </w:rPr>
              <w:t xml:space="preserve">Explanation generation, NL querying, reasoning trace authoring. Investigators ask the graph questions in plain language.</w:t>
            </w:r>
          </w:p>
        </w:tc>
      </w:tr>
      <w:tr>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color w:val="222222"/>
                <w:sz w:val="20"/>
                <w:szCs w:val="20"/>
              </w:rPr>
              <w:t xml:space="preserve">Oversampling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color w:val="222222"/>
                <w:sz w:val="20"/>
                <w:szCs w:val="20"/>
              </w:rPr>
              <w:t xml:space="preserve">SMOTE + ADASYN</w:t>
            </w:r>
          </w:p>
        </w:tc>
        <w:tc>
          <w:tcPr>
            <w:tcW w:type="dxa" w:w="5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color w:val="222222"/>
                <w:sz w:val="20"/>
                <w:szCs w:val="20"/>
              </w:rPr>
              <w:t xml:space="preserve">Class imbalance correction at training time (not inference). VAE/GAN synthetic minority generation for rare ring patterns.</w:t>
            </w:r>
          </w:p>
        </w:tc>
      </w:tr>
      <w:tr>
        <w:tc>
          <w:tcPr>
            <w:tcW w:type="dxa" w:w="168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pPr>
              <w:spacing w:after="40" w:before="40"/>
              <w:jc w:val="left"/>
            </w:pPr>
            <w:r>
              <w:rPr>
                <w:rFonts w:ascii="Arial" w:cs="Arial" w:eastAsia="Arial" w:hAnsi="Arial"/>
                <w:color w:val="222222"/>
                <w:sz w:val="20"/>
                <w:szCs w:val="20"/>
              </w:rPr>
              <w:t xml:space="preserve">Visualization</w:t>
            </w:r>
          </w:p>
        </w:tc>
        <w:tc>
          <w:tcPr>
            <w:tcW w:type="dxa" w:w="234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pPr>
              <w:spacing w:after="40" w:before="40"/>
              <w:jc w:val="left"/>
            </w:pPr>
            <w:r>
              <w:rPr>
                <w:rFonts w:ascii="Arial" w:cs="Arial" w:eastAsia="Arial" w:hAnsi="Arial"/>
                <w:color w:val="222222"/>
                <w:sz w:val="20"/>
                <w:szCs w:val="20"/>
              </w:rPr>
              <w:t xml:space="preserve">Neo4j Bloom + React Dashboard</w:t>
            </w:r>
          </w:p>
        </w:tc>
        <w:tc>
          <w:tcPr>
            <w:tcW w:type="dxa" w:w="534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pPr>
              <w:spacing w:after="40" w:before="40"/>
              <w:jc w:val="left"/>
            </w:pPr>
            <w:r>
              <w:rPr>
                <w:rFonts w:ascii="Arial" w:cs="Arial" w:eastAsia="Arial" w:hAnsi="Arial"/>
                <w:color w:val="222222"/>
                <w:sz w:val="20"/>
                <w:szCs w:val="20"/>
              </w:rPr>
              <w:t xml:space="preserve">Investigator-facing graph explorer for ad-hoc traversal + custom review queue and HITL decision interface.</w:t>
            </w:r>
          </w:p>
        </w:tc>
      </w:tr>
      <w:tr>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color w:val="222222"/>
                <w:sz w:val="20"/>
                <w:szCs w:val="20"/>
              </w:rPr>
              <w:t xml:space="preserve">ML Serving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color w:val="222222"/>
                <w:sz w:val="20"/>
                <w:szCs w:val="20"/>
              </w:rPr>
              <w:t xml:space="preserve">Amazon SageMaker</w:t>
            </w:r>
          </w:p>
        </w:tc>
        <w:tc>
          <w:tcPr>
            <w:tcW w:type="dxa" w:w="5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color w:val="222222"/>
                <w:sz w:val="20"/>
                <w:szCs w:val="20"/>
              </w:rPr>
              <w:t xml:space="preserve">Model hosting, weekly retraining pipeline, A/B testing between model versions during feedback-loop improvement cycles.</w:t>
            </w:r>
          </w:p>
        </w:tc>
      </w:tr>
    </w:tbl>
    <w:p>
      <w:pPr>
        <w:spacing w:after="0" w:before="120"/>
      </w:pPr>
    </w:p>
    <w:p>
      <w:pPr>
        <w:pStyle w:val="Heading1"/>
        <w:spacing w:after="160" w:before="360"/>
      </w:pPr>
      <w:r>
        <w:rPr>
          <w:rFonts w:ascii="Arial" w:cs="Arial" w:eastAsia="Arial" w:hAnsi="Arial"/>
          <w:b/>
          <w:bCs/>
          <w:color w:val="0D1B2A"/>
          <w:sz w:val="32"/>
          <w:szCs w:val="32"/>
        </w:rPr>
        <w:t xml:space="preserve">9. Success Metrics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680"/>
        <w:gridCol w:w="1800"/>
        <w:gridCol w:w="3540"/>
      </w:tblGrid>
      <w:tr>
        <w:trPr>
          <w:tblHeader/>
        </w:trPr>
        <w:tc>
          <w:tcPr>
            <w:tcW w:type="dxa" w:w="234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pPr>
              <w:spacing w:after="40" w:before="40"/>
              <w:jc w:val="left"/>
            </w:pPr>
            <w:r>
              <w:rPr>
                <w:rFonts w:ascii="Arial" w:cs="Arial" w:eastAsia="Arial" w:hAnsi="Arial"/>
                <w:b/>
                <w:bCs/>
                <w:color w:val="FFFFFF"/>
                <w:sz w:val="20"/>
                <w:szCs w:val="20"/>
              </w:rPr>
              <w:t xml:space="preserve">Metric</w:t>
            </w:r>
          </w:p>
        </w:tc>
        <w:tc>
          <w:tcPr>
            <w:tcW w:type="dxa" w:w="168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pPr>
              <w:spacing w:after="40" w:before="40"/>
              <w:jc w:val="left"/>
            </w:pPr>
            <w:r>
              <w:rPr>
                <w:rFonts w:ascii="Arial" w:cs="Arial" w:eastAsia="Arial" w:hAnsi="Arial"/>
                <w:b/>
                <w:bCs/>
                <w:color w:val="FFFFFF"/>
                <w:sz w:val="20"/>
                <w:szCs w:val="20"/>
              </w:rPr>
              <w:t xml:space="preserve">Launch Target</w:t>
            </w:r>
          </w:p>
        </w:tc>
        <w:tc>
          <w:tcPr>
            <w:tcW w:type="dxa" w:w="18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pPr>
              <w:spacing w:after="40" w:before="40"/>
              <w:jc w:val="left"/>
            </w:pPr>
            <w:r>
              <w:rPr>
                <w:rFonts w:ascii="Arial" w:cs="Arial" w:eastAsia="Arial" w:hAnsi="Arial"/>
                <w:b/>
                <w:bCs/>
                <w:color w:val="FFFFFF"/>
                <w:sz w:val="20"/>
                <w:szCs w:val="20"/>
              </w:rPr>
              <w:t xml:space="preserve">Month 6 Target</w:t>
            </w:r>
          </w:p>
        </w:tc>
        <w:tc>
          <w:tcPr>
            <w:tcW w:type="dxa" w:w="354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pPr>
              <w:spacing w:after="40" w:before="40"/>
              <w:jc w:val="left"/>
            </w:pPr>
            <w:r>
              <w:rPr>
                <w:rFonts w:ascii="Arial" w:cs="Arial" w:eastAsia="Arial" w:hAnsi="Arial"/>
                <w:b/>
                <w:bCs/>
                <w:color w:val="FFFFFF"/>
                <w:sz w:val="20"/>
                <w:szCs w:val="20"/>
              </w:rPr>
              <w:t xml:space="preserve">Why It Matters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color w:val="222222"/>
                <w:sz w:val="20"/>
                <w:szCs w:val="20"/>
              </w:rPr>
              <w:t xml:space="preserve">Human Agreement Rate</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center"/>
            </w:pPr>
            <w:r>
              <w:rPr>
                <w:rFonts w:ascii="Arial" w:cs="Arial" w:eastAsia="Arial" w:hAnsi="Arial"/>
                <w:color w:val="222222"/>
                <w:sz w:val="20"/>
                <w:szCs w:val="20"/>
              </w:rPr>
              <w:t xml:space="preserve">&gt;65%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center"/>
            </w:pPr>
            <w:r>
              <w:rPr>
                <w:rFonts w:ascii="Arial" w:cs="Arial" w:eastAsia="Arial" w:hAnsi="Arial"/>
                <w:color w:val="222222"/>
                <w:sz w:val="20"/>
                <w:szCs w:val="20"/>
              </w:rPr>
              <w:t xml:space="preserve">&gt;80%</w:t>
            </w:r>
          </w:p>
        </w:tc>
        <w:tc>
          <w:tcPr>
            <w:tcW w:type="dxa" w:w="3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color w:val="222222"/>
                <w:sz w:val="20"/>
                <w:szCs w:val="20"/>
              </w:rPr>
              <w:t xml:space="preserve">% of AI-flagged rings confirmed by investigators. Primary signal quality measure.</w:t>
            </w:r>
          </w:p>
        </w:tc>
      </w:tr>
      <w:tr>
        <w:tc>
          <w:tcPr>
            <w:tcW w:type="dxa" w:w="234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pPr>
              <w:spacing w:after="40" w:before="40"/>
              <w:jc w:val="left"/>
            </w:pPr>
            <w:r>
              <w:rPr>
                <w:rFonts w:ascii="Arial" w:cs="Arial" w:eastAsia="Arial" w:hAnsi="Arial"/>
                <w:color w:val="222222"/>
                <w:sz w:val="20"/>
                <w:szCs w:val="20"/>
              </w:rPr>
              <w:t xml:space="preserve">False Positive Rate</w:t>
            </w:r>
          </w:p>
        </w:tc>
        <w:tc>
          <w:tcPr>
            <w:tcW w:type="dxa" w:w="168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pPr>
              <w:spacing w:after="40" w:before="40"/>
              <w:jc w:val="center"/>
            </w:pPr>
            <w:r>
              <w:rPr>
                <w:rFonts w:ascii="Arial" w:cs="Arial" w:eastAsia="Arial" w:hAnsi="Arial"/>
                <w:color w:val="222222"/>
                <w:sz w:val="20"/>
                <w:szCs w:val="20"/>
              </w:rPr>
              <w:t xml:space="preserve">&lt;35%</w:t>
            </w:r>
          </w:p>
        </w:tc>
        <w:tc>
          <w:tcPr>
            <w:tcW w:type="dxa" w:w="180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pPr>
              <w:spacing w:after="40" w:before="40"/>
              <w:jc w:val="center"/>
            </w:pPr>
            <w:r>
              <w:rPr>
                <w:rFonts w:ascii="Arial" w:cs="Arial" w:eastAsia="Arial" w:hAnsi="Arial"/>
                <w:color w:val="222222"/>
                <w:sz w:val="20"/>
                <w:szCs w:val="20"/>
              </w:rPr>
              <w:t xml:space="preserve">&lt;20%</w:t>
            </w:r>
          </w:p>
        </w:tc>
        <w:tc>
          <w:tcPr>
            <w:tcW w:type="dxa" w:w="354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pPr>
              <w:spacing w:after="40" w:before="40"/>
              <w:jc w:val="left"/>
            </w:pPr>
            <w:r>
              <w:rPr>
                <w:rFonts w:ascii="Arial" w:cs="Arial" w:eastAsia="Arial" w:hAnsi="Arial"/>
                <w:color w:val="222222"/>
                <w:sz w:val="20"/>
                <w:szCs w:val="20"/>
              </w:rPr>
              <w:t xml:space="preserve">% of flagged rings dismissed. High FPR burns investigator trust and bandwidth.</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color w:val="222222"/>
                <w:sz w:val="20"/>
                <w:szCs w:val="20"/>
              </w:rPr>
              <w:t xml:space="preserve">Pre-payment Interception</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center"/>
            </w:pPr>
            <w:r>
              <w:rPr>
                <w:rFonts w:ascii="Arial" w:cs="Arial" w:eastAsia="Arial" w:hAnsi="Arial"/>
                <w:color w:val="222222"/>
                <w:sz w:val="20"/>
                <w:szCs w:val="20"/>
              </w:rPr>
              <w:t xml:space="preserve">Baseline TBD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center"/>
            </w:pPr>
            <w:r>
              <w:rPr>
                <w:rFonts w:ascii="Arial" w:cs="Arial" w:eastAsia="Arial" w:hAnsi="Arial"/>
                <w:color w:val="222222"/>
                <w:sz w:val="20"/>
                <w:szCs w:val="20"/>
              </w:rPr>
              <w:t xml:space="preserve">Maximize</w:t>
            </w:r>
          </w:p>
        </w:tc>
        <w:tc>
          <w:tcPr>
            <w:tcW w:type="dxa" w:w="3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color w:val="222222"/>
                <w:sz w:val="20"/>
                <w:szCs w:val="20"/>
              </w:rPr>
              <w:t xml:space="preserve">Highest-value metric for loss ratio impact. Rings caught before payment exits.</w:t>
            </w:r>
          </w:p>
        </w:tc>
      </w:tr>
      <w:tr>
        <w:tc>
          <w:tcPr>
            <w:tcW w:type="dxa" w:w="234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pPr>
              <w:spacing w:after="40" w:before="40"/>
              <w:jc w:val="left"/>
            </w:pPr>
            <w:r>
              <w:rPr>
                <w:rFonts w:ascii="Arial" w:cs="Arial" w:eastAsia="Arial" w:hAnsi="Arial"/>
                <w:color w:val="222222"/>
                <w:sz w:val="20"/>
                <w:szCs w:val="20"/>
              </w:rPr>
              <w:t xml:space="preserve">Mean Time to Decision (Std)</w:t>
            </w:r>
          </w:p>
        </w:tc>
        <w:tc>
          <w:tcPr>
            <w:tcW w:type="dxa" w:w="168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pPr>
              <w:spacing w:after="40" w:before="40"/>
              <w:jc w:val="center"/>
            </w:pPr>
            <w:r>
              <w:rPr>
                <w:rFonts w:ascii="Arial" w:cs="Arial" w:eastAsia="Arial" w:hAnsi="Arial"/>
                <w:color w:val="222222"/>
                <w:sz w:val="20"/>
                <w:szCs w:val="20"/>
              </w:rPr>
              <w:t xml:space="preserve">&lt;30 min</w:t>
            </w:r>
          </w:p>
        </w:tc>
        <w:tc>
          <w:tcPr>
            <w:tcW w:type="dxa" w:w="180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pPr>
              <w:spacing w:after="40" w:before="40"/>
              <w:jc w:val="center"/>
            </w:pPr>
            <w:r>
              <w:rPr>
                <w:rFonts w:ascii="Arial" w:cs="Arial" w:eastAsia="Arial" w:hAnsi="Arial"/>
                <w:color w:val="222222"/>
                <w:sz w:val="20"/>
                <w:szCs w:val="20"/>
              </w:rPr>
              <w:t xml:space="preserve">&lt;20 min</w:t>
            </w:r>
          </w:p>
        </w:tc>
        <w:tc>
          <w:tcPr>
            <w:tcW w:type="dxa" w:w="354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pPr>
              <w:spacing w:after="40" w:before="40"/>
              <w:jc w:val="left"/>
            </w:pPr>
            <w:r>
              <w:rPr>
                <w:rFonts w:ascii="Arial" w:cs="Arial" w:eastAsia="Arial" w:hAnsi="Arial"/>
                <w:color w:val="222222"/>
                <w:sz w:val="20"/>
                <w:szCs w:val="20"/>
              </w:rPr>
              <w:t xml:space="preserve">Investigator queue-entry to decision SLA for standard-tier rings.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color w:val="222222"/>
                <w:sz w:val="20"/>
                <w:szCs w:val="20"/>
              </w:rPr>
              <w:t xml:space="preserve">Mean Time to Decision (Override)</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center"/>
            </w:pPr>
            <w:r>
              <w:rPr>
                <w:rFonts w:ascii="Arial" w:cs="Arial" w:eastAsia="Arial" w:hAnsi="Arial"/>
                <w:color w:val="222222"/>
                <w:sz w:val="20"/>
                <w:szCs w:val="20"/>
              </w:rPr>
              <w:t xml:space="preserve">&lt;4 hours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center"/>
            </w:pPr>
            <w:r>
              <w:rPr>
                <w:rFonts w:ascii="Arial" w:cs="Arial" w:eastAsia="Arial" w:hAnsi="Arial"/>
                <w:color w:val="222222"/>
                <w:sz w:val="20"/>
                <w:szCs w:val="20"/>
              </w:rPr>
              <w:t xml:space="preserve">&lt;2 hours</w:t>
            </w:r>
          </w:p>
        </w:tc>
        <w:tc>
          <w:tcPr>
            <w:tcW w:type="dxa" w:w="3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color w:val="222222"/>
                <w:sz w:val="20"/>
                <w:szCs w:val="20"/>
              </w:rPr>
              <w:t xml:space="preserve">Senior review SLA. Balances rigor with pre-payment speed.</w:t>
            </w:r>
          </w:p>
        </w:tc>
      </w:tr>
      <w:tr>
        <w:tc>
          <w:tcPr>
            <w:tcW w:type="dxa" w:w="234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pPr>
              <w:spacing w:after="40" w:before="40"/>
              <w:jc w:val="left"/>
            </w:pPr>
            <w:r>
              <w:rPr>
                <w:rFonts w:ascii="Arial" w:cs="Arial" w:eastAsia="Arial" w:hAnsi="Arial"/>
                <w:color w:val="222222"/>
                <w:sz w:val="20"/>
                <w:szCs w:val="20"/>
              </w:rPr>
              <w:t xml:space="preserve">F1-Score Delta / Retraining</w:t>
            </w:r>
          </w:p>
        </w:tc>
        <w:tc>
          <w:tcPr>
            <w:tcW w:type="dxa" w:w="168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pPr>
              <w:spacing w:after="40" w:before="40"/>
              <w:jc w:val="center"/>
            </w:pPr>
            <w:r>
              <w:rPr>
                <w:rFonts w:ascii="Arial" w:cs="Arial" w:eastAsia="Arial" w:hAnsi="Arial"/>
                <w:color w:val="222222"/>
                <w:sz w:val="20"/>
                <w:szCs w:val="20"/>
              </w:rPr>
              <w:t xml:space="preserve">Positive</w:t>
            </w:r>
          </w:p>
        </w:tc>
        <w:tc>
          <w:tcPr>
            <w:tcW w:type="dxa" w:w="180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pPr>
              <w:spacing w:after="40" w:before="40"/>
              <w:jc w:val="center"/>
            </w:pPr>
            <w:r>
              <w:rPr>
                <w:rFonts w:ascii="Arial" w:cs="Arial" w:eastAsia="Arial" w:hAnsi="Arial"/>
                <w:color w:val="222222"/>
                <w:sz w:val="20"/>
                <w:szCs w:val="20"/>
              </w:rPr>
              <w:t xml:space="preserve">Consistent growth</w:t>
            </w:r>
          </w:p>
        </w:tc>
        <w:tc>
          <w:tcPr>
            <w:tcW w:type="dxa" w:w="354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pPr>
              <w:spacing w:after="40" w:before="40"/>
              <w:jc w:val="left"/>
            </w:pPr>
            <w:r>
              <w:rPr>
                <w:rFonts w:ascii="Arial" w:cs="Arial" w:eastAsia="Arial" w:hAnsi="Arial"/>
                <w:color w:val="222222"/>
                <w:sz w:val="20"/>
                <w:szCs w:val="20"/>
              </w:rPr>
              <w:t xml:space="preserve">Measures feedback loop. Stagnating F1 signals investigator quality issue.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color w:val="222222"/>
                <w:sz w:val="20"/>
                <w:szCs w:val="20"/>
              </w:rPr>
              <w:t xml:space="preserve">Model AUC-ROC</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center"/>
            </w:pPr>
            <w:r>
              <w:rPr>
                <w:rFonts w:ascii="Arial" w:cs="Arial" w:eastAsia="Arial" w:hAnsi="Arial"/>
                <w:color w:val="222222"/>
                <w:sz w:val="20"/>
                <w:szCs w:val="20"/>
              </w:rPr>
              <w:t xml:space="preserve">≥0.91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center"/>
            </w:pPr>
            <w:r>
              <w:rPr>
                <w:rFonts w:ascii="Arial" w:cs="Arial" w:eastAsia="Arial" w:hAnsi="Arial"/>
                <w:color w:val="222222"/>
                <w:sz w:val="20"/>
                <w:szCs w:val="20"/>
              </w:rPr>
              <w:t xml:space="preserve">≥0.95</w:t>
            </w:r>
          </w:p>
        </w:tc>
        <w:tc>
          <w:tcPr>
            <w:tcW w:type="dxa" w:w="3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color w:val="222222"/>
                <w:sz w:val="20"/>
                <w:szCs w:val="20"/>
              </w:rPr>
              <w:t xml:space="preserve">Production benchmark. Literature: 0.961 AUC achieved in comparable tasks.</w:t>
            </w:r>
          </w:p>
        </w:tc>
      </w:tr>
      <w:tr>
        <w:tc>
          <w:tcPr>
            <w:tcW w:type="dxa" w:w="234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pPr>
              <w:spacing w:after="40" w:before="40"/>
              <w:jc w:val="left"/>
            </w:pPr>
            <w:r>
              <w:rPr>
                <w:rFonts w:ascii="Arial" w:cs="Arial" w:eastAsia="Arial" w:hAnsi="Arial"/>
                <w:color w:val="222222"/>
                <w:sz w:val="20"/>
                <w:szCs w:val="20"/>
              </w:rPr>
              <w:t xml:space="preserve">Investigator Confidence</w:t>
            </w:r>
          </w:p>
        </w:tc>
        <w:tc>
          <w:tcPr>
            <w:tcW w:type="dxa" w:w="168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pPr>
              <w:spacing w:after="40" w:before="40"/>
              <w:jc w:val="center"/>
            </w:pPr>
            <w:r>
              <w:rPr>
                <w:rFonts w:ascii="Arial" w:cs="Arial" w:eastAsia="Arial" w:hAnsi="Arial"/>
                <w:color w:val="222222"/>
                <w:sz w:val="20"/>
                <w:szCs w:val="20"/>
              </w:rPr>
              <w:t xml:space="preserve">Baseline survey</w:t>
            </w:r>
          </w:p>
        </w:tc>
        <w:tc>
          <w:tcPr>
            <w:tcW w:type="dxa" w:w="180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pPr>
              <w:spacing w:after="40" w:before="40"/>
              <w:jc w:val="center"/>
            </w:pPr>
            <w:r>
              <w:rPr>
                <w:rFonts w:ascii="Arial" w:cs="Arial" w:eastAsia="Arial" w:hAnsi="Arial"/>
                <w:color w:val="222222"/>
                <w:sz w:val="20"/>
                <w:szCs w:val="20"/>
              </w:rPr>
              <w:t xml:space="preserve">Trend upward</w:t>
            </w:r>
          </w:p>
        </w:tc>
        <w:tc>
          <w:tcPr>
            <w:tcW w:type="dxa" w:w="354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pPr>
              <w:spacing w:after="40" w:before="40"/>
              <w:jc w:val="left"/>
            </w:pPr>
            <w:r>
              <w:rPr>
                <w:rFonts w:ascii="Arial" w:cs="Arial" w:eastAsia="Arial" w:hAnsi="Arial"/>
                <w:color w:val="222222"/>
                <w:sz w:val="20"/>
                <w:szCs w:val="20"/>
              </w:rPr>
              <w:t xml:space="preserve">Quarterly survey. Leading indicator of tool adoption and trust.</w:t>
            </w:r>
          </w:p>
        </w:tc>
      </w:tr>
    </w:tbl>
    <w:p>
      <w:pPr>
        <w:spacing w:after="0" w:before="120"/>
      </w:pPr>
    </w:p>
    <w:p>
      <w:pPr>
        <w:pStyle w:val="Heading1"/>
        <w:spacing w:after="160" w:before="360"/>
      </w:pPr>
      <w:r>
        <w:rPr>
          <w:rFonts w:ascii="Arial" w:cs="Arial" w:eastAsia="Arial" w:hAnsi="Arial"/>
          <w:b/>
          <w:bCs/>
          <w:color w:val="0D1B2A"/>
          <w:sz w:val="32"/>
          <w:szCs w:val="32"/>
        </w:rPr>
        <w:t xml:space="preserve">10. Cross-Carrier Collaboration</w:t>
      </w:r>
    </w:p>
    <w:p>
      <w:pPr>
        <w:spacing w:after="100" w:before="60"/>
      </w:pPr>
      <w:r>
        <w:rPr>
          <w:rFonts w:ascii="Arial" w:cs="Arial" w:eastAsia="Arial" w:hAnsi="Arial"/>
          <w:b/>
          <w:bCs/>
          <w:color w:val="0D1B2A"/>
          <w:sz w:val="22"/>
          <w:szCs w:val="22"/>
        </w:rPr>
        <w:t xml:space="preserve">This is the highest-leverage capability available in 2025.</w:t>
      </w:r>
      <w:r>
        <w:rPr>
          <w:rFonts w:ascii="Arial" w:cs="Arial" w:eastAsia="Arial" w:hAnsi="Arial"/>
          <w:color w:val="333333"/>
          <w:sz w:val="22"/>
          <w:szCs w:val="22"/>
        </w:rPr>
        <w:t xml:space="preserve"> A single carrier sees only its own claims — fraud rings exploit this blind spot deliberately by spreading activity across carriers.</w:t>
      </w:r>
    </w:p>
    <w:p>
      <w:pPr>
        <w:spacing w:after="100" w:before="60"/>
      </w:pPr>
      <w:r>
        <w:rPr>
          <w:rFonts w:ascii="Arial" w:cs="Arial" w:eastAsia="Arial" w:hAnsi="Arial"/>
          <w:color w:val="333333"/>
          <w:sz w:val="22"/>
          <w:szCs w:val="22"/>
        </w:rPr>
        <w:t xml:space="preserve">Design the system from day one to participate in a trusted carrier intelligence exchange: anonymized entity fingerprints (hashed attorney bar numbers, shop EINs, phone number hashes) shared with consortium partners. Incoming alerts from partners enrich the local graph. Outgoing confirmed ring data (post-investigator approval) is contributed back.</w:t>
      </w:r>
    </w:p>
    <w:p>
      <w:pPr>
        <w:pStyle w:val="ListParagraph"/>
        <w:numPr>
          <w:ilvl w:val="0"/>
          <w:numId w:val="3"/>
        </w:numPr>
        <w:spacing w:after="40" w:before="40"/>
      </w:pPr>
      <w:r>
        <w:rPr>
          <w:rFonts w:ascii="Arial" w:cs="Arial" w:eastAsia="Arial" w:hAnsi="Arial"/>
          <w:color w:val="333333"/>
          <w:sz w:val="22"/>
          <w:szCs w:val="22"/>
        </w:rPr>
        <w:t xml:space="preserve">Anonymized entity fingerprint sharing — hashed IDs, never raw PII</w:t>
      </w:r>
    </w:p>
    <w:p>
      <w:pPr>
        <w:pStyle w:val="ListParagraph"/>
        <w:numPr>
          <w:ilvl w:val="0"/>
          <w:numId w:val="3"/>
        </w:numPr>
        <w:spacing w:after="40" w:before="40"/>
      </w:pPr>
      <w:r>
        <w:rPr>
          <w:rFonts w:ascii="Arial" w:cs="Arial" w:eastAsia="Arial" w:hAnsi="Arial"/>
          <w:color w:val="333333"/>
          <w:sz w:val="22"/>
          <w:szCs w:val="22"/>
        </w:rPr>
        <w:t xml:space="preserve">Incoming partner alerts enrich the local graph in real time</w:t>
      </w:r>
    </w:p>
    <w:p>
      <w:pPr>
        <w:pStyle w:val="ListParagraph"/>
        <w:numPr>
          <w:ilvl w:val="0"/>
          <w:numId w:val="3"/>
        </w:numPr>
        <w:spacing w:after="40" w:before="40"/>
      </w:pPr>
      <w:r>
        <w:rPr>
          <w:rFonts w:ascii="Arial" w:cs="Arial" w:eastAsia="Arial" w:hAnsi="Arial"/>
          <w:color w:val="333333"/>
          <w:sz w:val="22"/>
          <w:szCs w:val="22"/>
        </w:rPr>
        <w:t xml:space="preserve">Confirmed ring data contributed back after investigator approval</w:t>
      </w:r>
    </w:p>
    <w:p>
      <w:pPr>
        <w:pStyle w:val="ListParagraph"/>
        <w:numPr>
          <w:ilvl w:val="0"/>
          <w:numId w:val="3"/>
        </w:numPr>
        <w:spacing w:after="40" w:before="40"/>
      </w:pPr>
      <w:r>
        <w:rPr>
          <w:rFonts w:ascii="Arial" w:cs="Arial" w:eastAsia="Arial" w:hAnsi="Arial"/>
          <w:color w:val="333333"/>
          <w:sz w:val="22"/>
          <w:szCs w:val="22"/>
        </w:rPr>
        <w:t xml:space="preserve">Access to previously generated alerts and policyholder history across the consortium</w:t>
      </w:r>
    </w:p>
    <w:p>
      <w:pPr>
        <w:spacing w:after="0" w:before="120"/>
      </w:pPr>
    </w:p>
    <w:p>
      <w:pPr>
        <w:pStyle w:val="Heading1"/>
        <w:spacing w:after="160" w:before="360"/>
      </w:pPr>
      <w:r>
        <w:rPr>
          <w:rFonts w:ascii="Arial" w:cs="Arial" w:eastAsia="Arial" w:hAnsi="Arial"/>
          <w:b/>
          <w:bCs/>
          <w:color w:val="0D1B2A"/>
          <w:sz w:val="32"/>
          <w:szCs w:val="32"/>
        </w:rPr>
        <w:t xml:space="preserve">11. Compliance &amp; Ethics</w:t>
      </w:r>
    </w:p>
    <w:p>
      <w:pPr>
        <w:pStyle w:val="Heading2"/>
        <w:spacing w:after="120" w:before="280"/>
      </w:pPr>
      <w:r>
        <w:rPr>
          <w:rFonts w:ascii="Arial" w:cs="Arial" w:eastAsia="Arial" w:hAnsi="Arial"/>
          <w:b/>
          <w:bCs/>
          <w:color w:val="2E75B6"/>
          <w:sz w:val="26"/>
          <w:szCs w:val="26"/>
        </w:rPr>
        <w:t xml:space="preserve">No Automated Adverse Action</w:t>
      </w:r>
    </w:p>
    <w:p>
      <w:pPr>
        <w:spacing w:after="100" w:before="60"/>
      </w:pPr>
      <w:r>
        <w:rPr>
          <w:rFonts w:ascii="Arial" w:cs="Arial" w:eastAsia="Arial" w:hAnsi="Arial"/>
          <w:color w:val="333333"/>
          <w:sz w:val="22"/>
          <w:szCs w:val="22"/>
        </w:rPr>
        <w:t xml:space="preserve">The system never triggers a coverage denial, claim rejection, or legal referral without human sign-off. All automated outputs are labeled as investigative leads, not determinations.</w:t>
      </w:r>
    </w:p>
    <w:p>
      <w:pPr>
        <w:pStyle w:val="Heading2"/>
        <w:spacing w:after="120" w:before="280"/>
      </w:pPr>
      <w:r>
        <w:rPr>
          <w:rFonts w:ascii="Arial" w:cs="Arial" w:eastAsia="Arial" w:hAnsi="Arial"/>
          <w:b/>
          <w:bCs/>
          <w:color w:val="2E75B6"/>
          <w:sz w:val="26"/>
          <w:szCs w:val="26"/>
        </w:rPr>
        <w:t xml:space="preserve">Bias Monitoring</w:t>
      </w:r>
    </w:p>
    <w:p>
      <w:pPr>
        <w:spacing w:after="100" w:before="60"/>
      </w:pPr>
      <w:r>
        <w:rPr>
          <w:rFonts w:ascii="Arial" w:cs="Arial" w:eastAsia="Arial" w:hAnsi="Arial"/>
          <w:color w:val="333333"/>
          <w:sz w:val="22"/>
          <w:szCs w:val="22"/>
        </w:rPr>
        <w:t xml:space="preserve">GNN models trained on historical fraud data may encode geographic or demographic biases. Quarterly bias audits on model outputs by zip code, claimant demographics, and attorney demographics are required.</w:t>
      </w:r>
    </w:p>
    <w:p>
      <w:pPr>
        <w:pStyle w:val="Heading2"/>
        <w:spacing w:after="120" w:before="280"/>
      </w:pPr>
      <w:r>
        <w:rPr>
          <w:rFonts w:ascii="Arial" w:cs="Arial" w:eastAsia="Arial" w:hAnsi="Arial"/>
          <w:b/>
          <w:bCs/>
          <w:color w:val="2E75B6"/>
          <w:sz w:val="26"/>
          <w:szCs w:val="26"/>
        </w:rPr>
        <w:t xml:space="preserve">Data Minimization</w:t>
      </w:r>
    </w:p>
    <w:p>
      <w:pPr>
        <w:spacing w:after="100" w:before="60"/>
      </w:pPr>
      <w:r>
        <w:rPr>
          <w:rFonts w:ascii="Arial" w:cs="Arial" w:eastAsia="Arial" w:hAnsi="Arial"/>
          <w:color w:val="333333"/>
          <w:sz w:val="22"/>
          <w:szCs w:val="22"/>
        </w:rPr>
        <w:t xml:space="preserve">Only data fields necessary for fraud detection are ingested into the graph. PII handling follows state insurance regulatory requirements and applicable data protection law.</w:t>
      </w:r>
    </w:p>
    <w:p>
      <w:pPr>
        <w:pStyle w:val="Heading2"/>
        <w:spacing w:after="120" w:before="280"/>
      </w:pPr>
      <w:r>
        <w:rPr>
          <w:rFonts w:ascii="Arial" w:cs="Arial" w:eastAsia="Arial" w:hAnsi="Arial"/>
          <w:b/>
          <w:bCs/>
          <w:color w:val="2E75B6"/>
          <w:sz w:val="26"/>
          <w:szCs w:val="26"/>
        </w:rPr>
        <w:t xml:space="preserve">Audit Trail</w:t>
      </w:r>
    </w:p>
    <w:p>
      <w:pPr>
        <w:spacing w:after="100" w:before="60"/>
      </w:pPr>
      <w:r>
        <w:rPr>
          <w:rFonts w:ascii="Arial" w:cs="Arial" w:eastAsia="Arial" w:hAnsi="Arial"/>
          <w:color w:val="333333"/>
          <w:sz w:val="22"/>
          <w:szCs w:val="22"/>
        </w:rPr>
        <w:t xml:space="preserve">Every AI output, investigator decision, override, and feedback signal is logged immutably with timestamp and user ID. This log is the chain of accountability for any regulatory inquiry.</w:t>
      </w:r>
    </w:p>
    <w:p>
      <w:pPr>
        <w:pStyle w:val="Heading2"/>
        <w:spacing w:after="120" w:before="280"/>
      </w:pPr>
      <w:r>
        <w:rPr>
          <w:rFonts w:ascii="Arial" w:cs="Arial" w:eastAsia="Arial" w:hAnsi="Arial"/>
          <w:b/>
          <w:bCs/>
          <w:color w:val="2E75B6"/>
          <w:sz w:val="26"/>
          <w:szCs w:val="26"/>
        </w:rPr>
        <w:t xml:space="preserve">Right to Explanation</w:t>
      </w:r>
    </w:p>
    <w:p>
      <w:pPr>
        <w:spacing w:after="100" w:before="60"/>
      </w:pPr>
      <w:r>
        <w:rPr>
          <w:rFonts w:ascii="Arial" w:cs="Arial" w:eastAsia="Arial" w:hAnsi="Arial"/>
          <w:color w:val="333333"/>
          <w:sz w:val="22"/>
          <w:szCs w:val="22"/>
        </w:rPr>
        <w:t xml:space="preserve">If the system's outputs ever inform an adverse action, the investigator's documented reasoning — not the AI's score — is the record of decision.</w:t>
      </w:r>
    </w:p>
    <w:p>
      <w:pPr>
        <w:spacing w:after="0" w:before="120"/>
      </w:pPr>
    </w:p>
    <w:p>
      <w:pPr>
        <w:pStyle w:val="Heading1"/>
        <w:spacing w:after="160" w:before="360"/>
      </w:pPr>
      <w:r>
        <w:rPr>
          <w:rFonts w:ascii="Arial" w:cs="Arial" w:eastAsia="Arial" w:hAnsi="Arial"/>
          <w:b/>
          <w:bCs/>
          <w:color w:val="0D1B2A"/>
          <w:sz w:val="32"/>
          <w:szCs w:val="32"/>
        </w:rPr>
        <w:t xml:space="preserve">12. Phased Rollout</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40"/>
        <w:gridCol w:w="1560"/>
        <w:gridCol w:w="2160"/>
        <w:gridCol w:w="4800"/>
      </w:tblGrid>
      <w:tr>
        <w:trPr>
          <w:tblHeader/>
        </w:trPr>
        <w:tc>
          <w:tcPr>
            <w:tcW w:type="dxa" w:w="84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pPr>
              <w:spacing w:after="40" w:before="40"/>
              <w:jc w:val="left"/>
            </w:pPr>
            <w:r>
              <w:rPr>
                <w:rFonts w:ascii="Arial" w:cs="Arial" w:eastAsia="Arial" w:hAnsi="Arial"/>
                <w:b/>
                <w:bCs/>
                <w:color w:val="FFFFFF"/>
                <w:sz w:val="20"/>
                <w:szCs w:val="20"/>
              </w:rPr>
              <w:t xml:space="preserve">Phase</w:t>
            </w:r>
          </w:p>
        </w:tc>
        <w:tc>
          <w:tcPr>
            <w:tcW w:type="dxa" w:w="156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pPr>
              <w:spacing w:after="40" w:before="40"/>
              <w:jc w:val="left"/>
            </w:pPr>
            <w:r>
              <w:rPr>
                <w:rFonts w:ascii="Arial" w:cs="Arial" w:eastAsia="Arial" w:hAnsi="Arial"/>
                <w:b/>
                <w:bCs/>
                <w:color w:val="FFFFFF"/>
                <w:sz w:val="20"/>
                <w:szCs w:val="20"/>
              </w:rPr>
              <w:t xml:space="preserve">Period</w:t>
            </w:r>
          </w:p>
        </w:tc>
        <w:tc>
          <w:tcPr>
            <w:tcW w:type="dxa" w:w="216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pPr>
              <w:spacing w:after="40" w:before="40"/>
              <w:jc w:val="left"/>
            </w:pPr>
            <w:r>
              <w:rPr>
                <w:rFonts w:ascii="Arial" w:cs="Arial" w:eastAsia="Arial" w:hAnsi="Arial"/>
                <w:b/>
                <w:bCs/>
                <w:color w:val="FFFFFF"/>
                <w:sz w:val="20"/>
                <w:szCs w:val="20"/>
              </w:rPr>
              <w:t xml:space="preserve">Name</w:t>
            </w:r>
          </w:p>
        </w:tc>
        <w:tc>
          <w:tcPr>
            <w:tcW w:type="dxa" w:w="48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pPr>
              <w:spacing w:after="40" w:before="40"/>
              <w:jc w:val="left"/>
            </w:pPr>
            <w:r>
              <w:rPr>
                <w:rFonts w:ascii="Arial" w:cs="Arial" w:eastAsia="Arial" w:hAnsi="Arial"/>
                <w:b/>
                <w:bCs/>
                <w:color w:val="FFFFFF"/>
                <w:sz w:val="20"/>
                <w:szCs w:val="20"/>
              </w:rPr>
              <w:t xml:space="preserve">Key Deliverables</w:t>
            </w:r>
          </w:p>
        </w:tc>
      </w:tr>
      <w:tr>
        <w:tc>
          <w:tcPr>
            <w:tcW w:type="dxa" w:w="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color w:val="222222"/>
                <w:sz w:val="20"/>
                <w:szCs w:val="20"/>
              </w:rPr>
              <w:t xml:space="preserve">1</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color w:val="222222"/>
                <w:sz w:val="20"/>
                <w:szCs w:val="20"/>
              </w:rPr>
              <w:t xml:space="preserve">Months 1–3</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color w:val="222222"/>
                <w:sz w:val="20"/>
                <w:szCs w:val="20"/>
              </w:rPr>
              <w:t xml:space="preserve">Foundation</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color w:val="222222"/>
                <w:sz w:val="20"/>
                <w:szCs w:val="20"/>
              </w:rPr>
              <w:t xml:space="preserve">Neo4j populated with 3-year historical claims · Rule-based signal layer live · Investigator review queue operational · Identity resolution pipeline active · Baseline metrics established</w:t>
            </w:r>
          </w:p>
        </w:tc>
      </w:tr>
      <w:tr>
        <w:tc>
          <w:tcPr>
            <w:tcW w:type="dxa" w:w="84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pPr>
              <w:spacing w:after="40" w:before="40"/>
              <w:jc w:val="left"/>
            </w:pPr>
            <w:r>
              <w:rPr>
                <w:rFonts w:ascii="Arial" w:cs="Arial" w:eastAsia="Arial" w:hAnsi="Arial"/>
                <w:color w:val="222222"/>
                <w:sz w:val="20"/>
                <w:szCs w:val="20"/>
              </w:rPr>
              <w:t xml:space="preserve">2</w:t>
            </w:r>
          </w:p>
        </w:tc>
        <w:tc>
          <w:tcPr>
            <w:tcW w:type="dxa" w:w="156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pPr>
              <w:spacing w:after="40" w:before="40"/>
              <w:jc w:val="left"/>
            </w:pPr>
            <w:r>
              <w:rPr>
                <w:rFonts w:ascii="Arial" w:cs="Arial" w:eastAsia="Arial" w:hAnsi="Arial"/>
                <w:color w:val="222222"/>
                <w:sz w:val="20"/>
                <w:szCs w:val="20"/>
              </w:rPr>
              <w:t xml:space="preserve">Months 4–6</w:t>
            </w:r>
          </w:p>
        </w:tc>
        <w:tc>
          <w:tcPr>
            <w:tcW w:type="dxa" w:w="216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pPr>
              <w:spacing w:after="40" w:before="40"/>
              <w:jc w:val="left"/>
            </w:pPr>
            <w:r>
              <w:rPr>
                <w:rFonts w:ascii="Arial" w:cs="Arial" w:eastAsia="Arial" w:hAnsi="Arial"/>
                <w:color w:val="222222"/>
                <w:sz w:val="20"/>
                <w:szCs w:val="20"/>
              </w:rPr>
              <w:t xml:space="preserve">GNN Layer</w:t>
            </w:r>
          </w:p>
        </w:tc>
        <w:tc>
          <w:tcPr>
            <w:tcW w:type="dxa" w:w="480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pPr>
              <w:spacing w:after="40" w:before="40"/>
              <w:jc w:val="left"/>
            </w:pPr>
            <w:r>
              <w:rPr>
                <w:rFonts w:ascii="Arial" w:cs="Arial" w:eastAsia="Arial" w:hAnsi="Arial"/>
                <w:color w:val="222222"/>
                <w:sz w:val="20"/>
                <w:szCs w:val="20"/>
              </w:rPr>
              <w:t xml:space="preserve">GraphSAGE trained with SMOTE/ADASYN balancing · GNN scores integrated into review queue · GNNExplainer reasoning traces live · Mandatory Override criteria enforced · SageMaker serving pipeline active</w:t>
            </w:r>
          </w:p>
        </w:tc>
      </w:tr>
      <w:tr>
        <w:tc>
          <w:tcPr>
            <w:tcW w:type="dxa" w:w="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color w:val="222222"/>
                <w:sz w:val="20"/>
                <w:szCs w:val="20"/>
              </w:rPr>
              <w:t xml:space="preserve">3</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color w:val="222222"/>
                <w:sz w:val="20"/>
                <w:szCs w:val="20"/>
              </w:rPr>
              <w:t xml:space="preserve">Months 7–9</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color w:val="222222"/>
                <w:sz w:val="20"/>
                <w:szCs w:val="20"/>
              </w:rPr>
              <w:t xml:space="preserve">GraphRAG + Agentic</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color w:val="222222"/>
                <w:sz w:val="20"/>
                <w:szCs w:val="20"/>
              </w:rPr>
              <w:t xml:space="preserve">LangGraph pipeline operational · NL querying live for investigators · Analogous ring retrieval (Pinecone) · First feedback-loop retraining cycle completed · HINormer heterogeneous layer added</w:t>
            </w:r>
          </w:p>
        </w:tc>
      </w:tr>
      <w:tr>
        <w:tc>
          <w:tcPr>
            <w:tcW w:type="dxa" w:w="84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pPr>
              <w:spacing w:after="40" w:before="40"/>
              <w:jc w:val="left"/>
            </w:pPr>
            <w:r>
              <w:rPr>
                <w:rFonts w:ascii="Arial" w:cs="Arial" w:eastAsia="Arial" w:hAnsi="Arial"/>
                <w:color w:val="222222"/>
                <w:sz w:val="20"/>
                <w:szCs w:val="20"/>
              </w:rPr>
              <w:t xml:space="preserve">4</w:t>
            </w:r>
          </w:p>
        </w:tc>
        <w:tc>
          <w:tcPr>
            <w:tcW w:type="dxa" w:w="156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pPr>
              <w:spacing w:after="40" w:before="40"/>
              <w:jc w:val="left"/>
            </w:pPr>
            <w:r>
              <w:rPr>
                <w:rFonts w:ascii="Arial" w:cs="Arial" w:eastAsia="Arial" w:hAnsi="Arial"/>
                <w:color w:val="222222"/>
                <w:sz w:val="20"/>
                <w:szCs w:val="20"/>
              </w:rPr>
              <w:t xml:space="preserve">Months 10–12</w:t>
            </w:r>
          </w:p>
        </w:tc>
        <w:tc>
          <w:tcPr>
            <w:tcW w:type="dxa" w:w="216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pPr>
              <w:spacing w:after="40" w:before="40"/>
              <w:jc w:val="left"/>
            </w:pPr>
            <w:r>
              <w:rPr>
                <w:rFonts w:ascii="Arial" w:cs="Arial" w:eastAsia="Arial" w:hAnsi="Arial"/>
                <w:color w:val="222222"/>
                <w:sz w:val="20"/>
                <w:szCs w:val="20"/>
              </w:rPr>
              <w:t xml:space="preserve">Network Effect</w:t>
            </w:r>
          </w:p>
        </w:tc>
        <w:tc>
          <w:tcPr>
            <w:tcW w:type="dxa" w:w="480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pPr>
              <w:spacing w:after="40" w:before="40"/>
              <w:jc w:val="left"/>
            </w:pPr>
            <w:r>
              <w:rPr>
                <w:rFonts w:ascii="Arial" w:cs="Arial" w:eastAsia="Arial" w:hAnsi="Arial"/>
                <w:color w:val="222222"/>
                <w:sz w:val="20"/>
                <w:szCs w:val="20"/>
              </w:rPr>
              <w:t xml:space="preserve">Cross-carrier data exchange integration · Real-time streaming for pre-payment interception · RL-GNN model upgrade · Full production validation · Anonymized entity fingerprint sharing with consortium</w:t>
            </w:r>
          </w:p>
        </w:tc>
      </w:tr>
    </w:tbl>
    <w:p>
      <w:pPr>
        <w:spacing w:after="0" w:before="200"/>
      </w:pPr>
    </w:p>
    <w:p>
      <w:pPr>
        <w:spacing w:after="160" w:before="160"/>
      </w:pPr>
      <w:r>
        <w:rPr>
          <w:rFonts w:ascii="Arial" w:cs="Arial" w:eastAsia="Arial" w:hAnsi="Arial"/>
          <w:b/>
          <w:bCs/>
          <w:color w:val="2E75B6"/>
          <w:sz w:val="22"/>
          <w:szCs w:val="22"/>
        </w:rPr>
        <w:t xml:space="preserve">Phase 4 Network Effect: </w:t>
      </w:r>
      <w:r>
        <w:rPr>
          <w:rFonts w:ascii="Arial" w:cs="Arial" w:eastAsia="Arial" w:hAnsi="Arial"/>
          <w:color w:val="333333"/>
          <w:sz w:val="22"/>
          <w:szCs w:val="22"/>
        </w:rPr>
        <w:t xml:space="preserve">By sharing critical intelligence, patterns, and data, insurers can more effectively identify and disrupt organized fraudulent activity that has exploited gaps in an individual carrier's defense. The result is alerts on suspicious activity being shared more promptly and increased access to historical information.</w:t>
      </w:r>
    </w:p>
    <w:p>
      <w:pPr>
        <w:spacing w:after="0" w:before="120"/>
      </w:pPr>
    </w:p>
    <w:p>
      <w:pPr>
        <w:pBdr>
          <w:bottom w:val="single" w:color="2E75B6" w:sz="6" w:space="1"/>
        </w:pBdr>
        <w:spacing w:after="200" w:before="0"/>
      </w:pPr>
    </w:p>
    <w:p>
      <w:pPr>
        <w:spacing w:after="0" w:before="80"/>
        <w:jc w:val="center"/>
      </w:pPr>
      <w:r>
        <w:rPr>
          <w:rFonts w:ascii="Arial" w:cs="Arial" w:eastAsia="Arial" w:hAnsi="Arial"/>
          <w:color w:val="6B7280"/>
          <w:sz w:val="18"/>
          <w:szCs w:val="18"/>
        </w:rPr>
        <w:t xml:space="preserve">This document is confidential and intended for internal use only. </w:t>
      </w:r>
      <w:r>
        <w:rPr>
          <w:rFonts w:ascii="Arial" w:cs="Arial" w:eastAsia="Arial" w:hAnsi="Arial"/>
          <w:color w:val="6B7280"/>
          <w:sz w:val="18"/>
          <w:szCs w:val="18"/>
        </w:rPr>
        <w:t xml:space="preserve">PRD v2.0 · Auto Insurance Fraud Ring Detection · Graph-RAG Architecture</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spacing w:after="0" w:before="100"/>
    </w:pPr>
    <w:r>
      <w:rPr>
        <w:rFonts w:ascii="Arial" w:cs="Arial" w:eastAsia="Arial" w:hAnsi="Arial"/>
        <w:color w:val="6B7280"/>
        <w:sz w:val="18"/>
        <w:szCs w:val="18"/>
      </w:rPr>
      <w:t xml:space="preserve">Auto Insurance  ·  Graph-RAG Fraud Detection  ·  Page </w:t>
    </w:r>
    <w:r>
      <w:rPr>
        <w:rFonts w:ascii="Arial" w:cs="Arial" w:eastAsia="Arial" w:hAnsi="Arial"/>
        <w:color w:val="6B7280"/>
        <w:sz w:val="18"/>
        <w:szCs w:val="18"/>
      </w:rPr>
      <w:fldChar w:fldCharType="begin"/>
      <w:instrText xml:space="preserve">PAGE</w:instrText>
      <w:fldChar w:fldCharType="separate"/>
      <w:fldChar w:fldCharType="end"/>
    </w:r>
    <w:r>
      <w:rPr>
        <w:rFonts w:ascii="Arial" w:cs="Arial" w:eastAsia="Arial" w:hAnsi="Arial"/>
        <w:color w:val="6B7280"/>
        <w:sz w:val="18"/>
        <w:szCs w:val="18"/>
      </w:rPr>
      <w:t xml:space="preserve"> of </w:t>
    </w:r>
    <w:r>
      <w:rPr>
        <w:rFonts w:ascii="Arial" w:cs="Arial" w:eastAsia="Arial" w:hAnsi="Arial"/>
        <w:color w:val="6B72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spacing w:after="100" w:before="0"/>
    </w:pPr>
    <w:r>
      <w:rPr>
        <w:rFonts w:ascii="Arial" w:cs="Arial" w:eastAsia="Arial" w:hAnsi="Arial"/>
        <w:b/>
        <w:bCs/>
        <w:color w:val="2E75B6"/>
        <w:sz w:val="18"/>
        <w:szCs w:val="18"/>
      </w:rPr>
      <w:t xml:space="preserve">FRAUD RING DETECTION SYSTEM  </w:t>
    </w:r>
    <w:r>
      <w:rPr>
        <w:rFonts w:ascii="Arial" w:cs="Arial" w:eastAsia="Arial" w:hAnsi="Arial"/>
        <w:color w:val="6B7280"/>
        <w:sz w:val="18"/>
        <w:szCs w:val="18"/>
      </w:rPr>
      <w:t xml:space="preserve">·  PRD v2.0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rPr>
        <w:rFonts w:ascii="Arial" w:cs="Arial" w:eastAsia="Arial" w:hAnsi="Arial"/>
        <w:color w:val="2E75B6"/>
        <w:sz w:val="22"/>
        <w:szCs w:val="22"/>
      </w:rPr>
    </w:lvl>
    <w:lvl w:ilvl="1" w15:tentative="1">
      <w:start w:val="1"/>
      <w:numFmt w:val="bullet"/>
      <w:lvlText w:val="◦"/>
      <w:lvlJc w:val="left"/>
      <w:pPr>
        <w:ind w:left="900" w:hanging="360"/>
      </w:pPr>
      <w:rPr>
        <w:rFonts w:ascii="Arial" w:cs="Arial" w:eastAsia="Arial" w:hAnsi="Arial"/>
        <w:color w:val="6B7280"/>
        <w:sz w:val="20"/>
        <w:szCs w:val="20"/>
      </w:rPr>
    </w:lvl>
  </w:abstractNum>
  <w:abstractNum w:abstractNumId="3" w15:restartNumberingAfterBreak="0">
    <w:multiLevelType w:val="hybridMultilevel"/>
    <w:lvl w:ilvl="0" w15:tentative="1">
      <w:start w:val="1"/>
      <w:numFmt w:val="decimal"/>
      <w:lvlText w:val="%1."/>
      <w:lvlJc w:val="left"/>
      <w:pPr>
        <w:ind w:left="540" w:hanging="360"/>
      </w:pPr>
      <w:rPr>
        <w:rFonts w:ascii="Arial" w:cs="Arial" w:eastAsia="Arial" w:hAnsi="Arial"/>
        <w:b/>
        <w:bCs/>
        <w:color w:val="2E75B6"/>
        <w:sz w:val="22"/>
        <w:szCs w:val="22"/>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4" w:space="1"/>
      </w:pBdr>
      <w:spacing w:after="160" w:before="360"/>
      <w:outlineLvl w:val="0"/>
    </w:pPr>
    <w:rPr>
      <w:rFonts w:ascii="Arial" w:cs="Arial" w:eastAsia="Arial" w:hAnsi="Arial"/>
      <w:b/>
      <w:bCs/>
      <w:color w:val="0D1B2A"/>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200"/>
      <w:outlineLvl w:val="2"/>
    </w:pPr>
    <w:rPr>
      <w:rFonts w:ascii="Arial" w:cs="Arial" w:eastAsia="Arial" w:hAnsi="Arial"/>
      <w:b/>
      <w:bCs/>
      <w:color w:val="4B556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2026-04-08T02:36:05.660Z</dcterms:created>
  <dcterms:modified xsi:type="dcterms:W3CDTF">2026-04-08T02:36:05.661Z</dcterms:modified>
</cp:coreProperties>
</file>

<file path=docProps/custom.xml><?xml version="1.0" encoding="utf-8"?>
<Properties xmlns="http://schemas.openxmlformats.org/officeDocument/2006/custom-properties" xmlns:vt="http://schemas.openxmlformats.org/officeDocument/2006/docPropsVTypes"/>
</file>