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766E"/>
          <w:sz w:val="22"/>
        </w:rPr>
        <w:t>FASTag Redesign India</w:t>
      </w:r>
    </w:p>
    <w:p>
      <w:r>
        <w:rPr>
          <w:b/>
          <w:color w:val="0F172A"/>
          <w:sz w:val="52"/>
        </w:rPr>
        <w:t>Decision Memo + Stakeholder Alignment</w:t>
      </w:r>
    </w:p>
    <w:p>
      <w:r>
        <w:rPr>
          <w:color w:val="334155"/>
          <w:sz w:val="24"/>
        </w:rPr>
        <w:t>One-page decision package for approving a FASTag redesign pilot in India.</w:t>
      </w:r>
    </w:p>
    <w:p>
      <w:r>
        <w:rPr>
          <w:color w:val="64748B"/>
          <w:sz w:val="18"/>
        </w:rPr>
        <w:t>Prepared for Sai Kiran Biswal | Generated 19 Jun 2026</w:t>
      </w:r>
    </w:p>
    <w:p/>
    <w:p>
      <w:pPr>
        <w:pStyle w:val="Heading1"/>
      </w:pPr>
      <w:r>
        <w:t>1. BLUF recommendation</w:t>
      </w:r>
    </w:p>
    <w:p>
      <w:r>
        <w:t>Approve a 90-day pilot for a FASTag Trust Layer: Toll Health, explainable transactions, annual pass visibility, dispute tracker, fleet dashboard, and operator exception queue. The pilot should run on one high-volume corridor with one issuer/acquirer integration and a clear toll event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Ask</w:t>
            </w:r>
          </w:p>
        </w:tc>
        <w:tc>
          <w:tcPr>
            <w:tcW w:type="dxa" w:w="720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Decision needed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Product approval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Approve MVP scope and non-goals.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Pilot approval</w:t>
            </w:r>
          </w:p>
        </w:tc>
        <w:tc>
          <w:tcPr>
            <w:tcW w:type="dxa" w:w="72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Choose pilot corridor and partner issuer/operator.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 approval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Authorize event schema and read-only status/evidence integration.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Governance approval</w:t>
            </w:r>
          </w:p>
        </w:tc>
        <w:tc>
          <w:tcPr>
            <w:tcW w:type="dxa" w:w="72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Confirm no AI-only decisions for penalty, blacklist, refund rejection, or fraud marking.</w:t>
            </w:r>
          </w:p>
        </w:tc>
      </w:tr>
    </w:tbl>
    <w:p/>
    <w:p>
      <w:pPr>
        <w:pStyle w:val="Heading1"/>
      </w:pPr>
      <w:r>
        <w:t>2. Why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720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Evidence / logic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FASTag is national-scale infrastructure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IHMCL ETC reports show high-volume FASTag transactions and collections across NH, MoRTH, and State toll plazas.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 trust layer is under-designed</w:t>
            </w:r>
          </w:p>
        </w:tc>
        <w:tc>
          <w:tcPr>
            <w:tcW w:type="dxa" w:w="72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Current user experience is fragmented across issuer bank, toll plaza, KYC, annual pass, and complaint channels.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Annual pass creates a new UX layer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Users need pass eligibility, trips left, validity, and clear indication when pass vs wallet was used.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GNSS transition is not immediate nationwide replacement</w:t>
            </w:r>
          </w:p>
        </w:tc>
        <w:tc>
          <w:tcPr>
            <w:tcW w:type="dxa" w:w="720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Current policy signals indicate FASTag should be improved while preparing for hybrid tolling.</w:t>
            </w:r>
          </w:p>
        </w:tc>
      </w:tr>
    </w:tbl>
    <w:p/>
    <w:p>
      <w:pPr>
        <w:pStyle w:val="Heading1"/>
      </w:pPr>
      <w:r>
        <w:t>3. Options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259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Pros</w:t>
            </w:r>
          </w:p>
        </w:tc>
        <w:tc>
          <w:tcPr>
            <w:tcW w:type="dxa" w:w="3024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Cons</w:t>
            </w:r>
          </w:p>
        </w:tc>
        <w:tc>
          <w:tcPr>
            <w:tcW w:type="dxa" w:w="187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Do nothing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build cost, no integration complexity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Continues trust gaps and complaint load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Reject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another recharge app</w:t>
            </w:r>
          </w:p>
        </w:tc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Easy to launch, low infra dependency</w:t>
            </w:r>
          </w:p>
        </w:tc>
        <w:tc>
          <w:tcPr>
            <w:tcW w:type="dxa" w:w="302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Does not solve root problem of explainability and disputes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Reject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full GNSS replacement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Future-looking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Too high-risk and not aligned to immediate user pain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Reject for MVP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FASTag Trust Layer</w:t>
            </w:r>
          </w:p>
        </w:tc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Directly fixes status, event, dispute, annual pass, and fleet pain</w:t>
            </w:r>
          </w:p>
        </w:tc>
        <w:tc>
          <w:tcPr>
            <w:tcW w:type="dxa" w:w="3024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Needs data coordination and governance</w:t>
            </w:r>
          </w:p>
        </w:tc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Approve</w:t>
            </w:r>
          </w:p>
        </w:tc>
      </w:tr>
    </w:tbl>
    <w:p/>
    <w:p>
      <w:pPr>
        <w:pStyle w:val="Heading1"/>
      </w:pPr>
      <w:r>
        <w:t>4. Stakeholder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244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What they care about</w:t>
            </w:r>
          </w:p>
        </w:tc>
        <w:tc>
          <w:tcPr>
            <w:tcW w:type="dxa" w:w="259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Likely objection</w:t>
            </w:r>
          </w:p>
        </w:tc>
        <w:tc>
          <w:tcPr>
            <w:tcW w:type="dxa" w:w="345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Pre-wire message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NHAI / IHMCL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Seamless tolling, lower complaints, policy compliance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Complex coordination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Pilot is controlled, event-ledger first, no pricing changes.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Issuer banks</w:t>
            </w:r>
          </w:p>
        </w:tc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Recharge volume, KYC, support load</w:t>
            </w:r>
          </w:p>
        </w:tc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Loss of customer ownership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Layer reduces complaints and keeps payments with issuer rails.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NPCI / NETC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Interoperability, disputes, rule compliance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Dispute misuse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reason codes, evidence packs, audit trail.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Toll operators</w:t>
            </w:r>
          </w:p>
        </w:tc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Lane speed, exception resolution, revenue</w:t>
            </w:r>
          </w:p>
        </w:tc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Operational disruption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Exception queue reduces manual chaos.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Fleet owners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Downtime, leakage, cost control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Yet another dashboard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Bulk actions and alerts create direct ROI.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Vehicle owners</w:t>
            </w:r>
          </w:p>
        </w:tc>
        <w:tc>
          <w:tcPr>
            <w:tcW w:type="dxa" w:w="24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Predictability, refunds, convenience</w:t>
            </w:r>
          </w:p>
        </w:tc>
        <w:tc>
          <w:tcPr>
            <w:tcW w:type="dxa" w:w="259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Trust in status accuracy</w:t>
            </w:r>
          </w:p>
        </w:tc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 source evidence and actionable fix.</w:t>
            </w:r>
          </w:p>
        </w:tc>
      </w:tr>
    </w:tbl>
    <w:p/>
    <w:p>
      <w:pPr>
        <w:pStyle w:val="Heading1"/>
      </w:pPr>
      <w:r>
        <w:t>5. Kill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6912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Kill criterion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reliable status signal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If pilot cannot explain &gt;80% of blocked/warning cases with source reason, stop or re-scope.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Dispute rails too opaque</w:t>
            </w:r>
          </w:p>
        </w:tc>
        <w:tc>
          <w:tcPr>
            <w:tcW w:type="dxa" w:w="691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If users cannot track dispute stage and owner, do not scale complaint module.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Operator adoption weak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If exception queue adds manual burden rather than reducing it, redesign before expansion.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False positives from AI</w:t>
            </w:r>
          </w:p>
        </w:tc>
        <w:tc>
          <w:tcPr>
            <w:tcW w:type="dxa" w:w="6912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If AI dispute/duplicate flags are materially wrong, keep AI in suggest-only mode.</w:t>
            </w:r>
          </w:p>
        </w:tc>
      </w:tr>
    </w:tbl>
    <w:p/>
    <w:p>
      <w:pPr>
        <w:pStyle w:val="Heading1"/>
      </w:pPr>
      <w:r>
        <w:t>6. 30/60/90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80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6048"/>
            <w:vAlign w:val="center"/>
            <w:shd w:fill="0F766E"/>
          </w:tcPr>
          <w:p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Key activities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0-30 days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Discovery and schema lock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Interview commuters, fleets, toll operators; map dispute status; define event schema; design prototype.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31-60 days</w:t>
            </w:r>
          </w:p>
        </w:tc>
        <w:tc>
          <w:tcPr>
            <w:tcW w:type="dxa" w:w="2880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Pilot build</w:t>
            </w:r>
          </w:p>
        </w:tc>
        <w:tc>
          <w:tcPr>
            <w:tcW w:type="dxa" w:w="6048"/>
            <w:vAlign w:val="center"/>
            <w:shd w:fill="F8FAFC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health dashboard, transaction timeline, dispute tracker, annual pass card, fleet view, operator exception queue.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61-90 days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Pilot measurement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Run with pilot corridor; measure self-serve resolution, wrong deduction TAT, blocked incidents, exception load.</w:t>
            </w:r>
          </w:p>
        </w:tc>
      </w:tr>
    </w:tbl>
    <w:p/>
    <w:p>
      <w:pPr>
        <w:pStyle w:val="Heading1"/>
      </w:pPr>
      <w:r>
        <w:t>7. Source log</w:t>
      </w:r>
    </w:p>
    <w:p>
      <w:r>
        <w:t>IHMCL ETC Transaction Reports: https://ihmcl.co.in/etc-transaction-reports/</w:t>
      </w:r>
    </w:p>
    <w:p>
      <w:r>
        <w:t>IHMCL FASTag User Information: https://ihmcl.co.in/fastag-user/</w:t>
      </w:r>
    </w:p>
    <w:p>
      <w:r>
        <w:t>NHAI One Vehicle One FASTag press release: https://nhai.gov.in/nhai/sites/default/files/2024-01/Press_Release-One_Vehical_One_FASTag_0.pdf</w:t>
      </w:r>
    </w:p>
    <w:p>
      <w:r>
        <w:t>PIB clarification on satellite-based tolling: https://www.pib.gov.in/PressReleasePage.aspx?PRID=2122632</w:t>
      </w:r>
    </w:p>
    <w:p>
      <w:r>
        <w:t>Rajmarg Yatra Annual Pass: https://rajmargyatra.nhai.gov.in/annual-pass</w:t>
      </w:r>
    </w:p>
    <w:p>
      <w:r>
        <w:t>Rajmarg Yatra Annual Pass Terms: https://rajmargyatra.nhai.gov.in/annual-pass/terms-and-conditions</w:t>
      </w:r>
    </w:p>
    <w:p>
      <w:r>
        <w:t>NPCI NETC Circulars: https://www.npci.org.in/circulars/netc</w:t>
      </w:r>
    </w:p>
    <w:p>
      <w:r>
        <w:t>NPCI NETC FASTag Status: https://www.npci.org.in/netcfastag-status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