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300"/>
        <w:jc w:val="center"/>
      </w:pPr>
      <w:r>
        <w:rPr>
          <w:rFonts w:ascii="Arial" w:cs="Arial" w:eastAsia="Arial" w:hAnsi="Arial"/>
          <w:b/>
          <w:bCs/>
          <w:color w:val="1B3A5C"/>
          <w:sz w:val="48"/>
          <w:szCs w:val="48"/>
        </w:rPr>
        <w:t xml:space="preserve">Performance Impact &amp; Complexity Analysis</w:t>
      </w:r>
    </w:p>
    <w:p>
      <w:pPr>
        <w:spacing w:after="200"/>
        <w:jc w:val="center"/>
      </w:pPr>
      <w:r>
        <w:rPr>
          <w:color w:val="2E75B6"/>
          <w:sz w:val="28"/>
          <w:szCs w:val="28"/>
        </w:rPr>
        <w:t xml:space="preserve">GAP Implementations &amp; Research Upgrades</w:t>
      </w:r>
    </w:p>
    <w:p>
      <w:pPr>
        <w:spacing w:after="600"/>
        <w:jc w:val="center"/>
      </w:pPr>
      <w:r>
        <w:rPr>
          <w:color w:val="666666"/>
          <w:sz w:val="20"/>
          <w:szCs w:val="20"/>
        </w:rPr>
        <w:t xml:space="preserve">Infineon Technologies — ATV MC D SW VDF | April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Current Performance Baseline (AICE v2.1.0)</w:t>
      </w:r>
    </w:p>
    <w:p>
      <w:pPr>
        <w:spacing w:after="120"/>
      </w:pPr>
      <w:r>
        <w:t xml:space="preserve">Before analyzing impact, the following baseline metrics are established from Sprint 9 performance_improvements.md and the DocJockey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AICE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DocJockey (Reference)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Target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End-to-end search latency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~150–250ms (hybrid_search)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~2800ms (P95)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&lt;500ms with all GAP stages</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Graph queries per search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 (post-Sprint 9 UNWIND fix)</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 (no doc-level graph)</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&lt;5 maintained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LRU cache hit speedup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~2500x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Not documented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Maintain</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Semantic cache hit speedup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~40x (FAISS L1)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~20x (58% hit rate)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Maintain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Time-to-first-token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 (synchronous)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380ms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&lt;500ms (streaming)</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Context budget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Fixed 8K tokens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Dynamic (query-adaptive)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Dynamic 4K/8K/12K</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Ingestion throughput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 threads (ThreadPoolExecutor)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Batch + Airflow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Celery batches</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Docker image size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~1.8GB (estimated with PyTorch)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Not documented</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&lt;800MB (no PyTorch)</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(runtime)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~500MB + Neo4j/Qdrant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Not documented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&lt;600MB with all GAPs</w:t>
            </w:r>
          </w:p>
        </w:tc>
      </w:tr>
    </w:tbl>
    <w:p>
      <w:r>
        <w:br w:type="page"/>
      </w:r>
    </w:p>
    <w:p>
      <w:pPr>
        <w:pStyle w:val="Heading1"/>
      </w:pPr>
      <w:r>
        <w:t xml:space="preserve">2. Per-Feature Performance Impact Analysis</w:t>
      </w:r>
    </w:p>
    <w:p>
      <w:pPr>
        <w:pStyle w:val="Heading2"/>
      </w:pPr>
      <w:r>
        <w:t xml:space="preserve">2.1 GAP-A01: Cross-Encoder Reranking</w:t>
      </w:r>
    </w:p>
    <w:p>
      <w:pPr>
        <w:pStyle w:val="Heading3"/>
      </w:pPr>
      <w:r>
        <w:t xml:space="preserve">Current Implementation (CrossEncoder + PyTorch)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Value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Per-query latency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~180ms for 50 chunks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sentence-transformers CrossEncoder.predict()</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footprint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~350MB (PyTorch + model)</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Loads full PyTorch runtime + ms-marco model into RAM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Docker image impact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+1.8–2.0 GB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PyTorch + CUDA stubs + transformers + tokenizers</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GPU required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(CPU fallback)</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But very slow on CPU (~500ms per 50 chunks)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Cold start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 seconds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Model loading on first call</w:t>
            </w:r>
          </w:p>
        </w:tc>
      </w:tr>
    </w:tbl>
    <w:p>
      <w:pPr>
        <w:pStyle w:val="Heading3"/>
      </w:pPr>
      <w:r>
        <w:t xml:space="preserve">Research Upgrade (FlashRank + ONNX)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Value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Improvement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Per-query latency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~15–25ms for 50 chunks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7–10x faster (ONNX runtime with SIMD)</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footprint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~80MB</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4.4x reduction (no PyTorch, ONNX model only)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Docker image impact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+50MB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36–40x reduction in dependency size</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GPU required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(CPU-native, ONNX optimized)</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Consistently fast on CPU</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Cold start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&lt;1 second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ONNX model loads instantly</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(NDCG@10)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0.86 (identical to CrossEncoder)</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ms-marco model, different runtime</w:t>
            </w:r>
          </w:p>
        </w:tc>
      </w:tr>
    </w:tbl>
    <w:p>
      <w:pPr>
        <w:spacing w:after="120"/>
      </w:pPr>
      <w:r>
        <w:rPr>
          <w:b/>
          <w:bCs/>
        </w:rPr>
        <w:t xml:space="preserve">Net pipeline impact: </w:t>
      </w:r>
      <w:r>
        <w:t xml:space="preserve">Adds ~20ms to the search pipeline for ~25% of queries (semantic/documentation). 75% of queries skip this stage (graph-heavy). Net: +5ms average across all queries. Docker image shrinks by ~1.9GB.</w:t>
      </w:r>
    </w:p>
    <w:p>
      <w:pPr>
        <w:pStyle w:val="Heading2"/>
      </w:pPr>
      <w:r>
        <w:t xml:space="preserve">2.2 GAP-A02: MCP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(Synchronous)</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With SDK Streaming</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Time-to-first-token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Equal to total response time (200–2000ms)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&lt;500ms (stream after graph search completes)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User-perceived latency drops 60–80%</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Total response time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Unchanged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Unchanged (same pipeline)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Streaming doesn’t make total faster, it makes perceived faster</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overhead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~2–5KB per active stream (SSE buffer)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Connection duration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Short (request-response)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Long-lived (duration of stream)</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Increases connection pool pressure — monitor uvicorn worker count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CPU overhead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&lt;1% (async generator yields)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(request → response)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(session management, error recovery, heartbeats)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Adds ~200 lines to mcp_server.py transport layer</w:t>
            </w:r>
          </w:p>
        </w:tc>
      </w:tr>
    </w:tbl>
    <w:p>
      <w:pPr>
        <w:spacing w:after="120"/>
      </w:pPr>
      <w:r>
        <w:rPr>
          <w:b/>
          <w:bCs/>
        </w:rPr>
        <w:t xml:space="preserve">Risk: </w:t>
      </w:r>
      <w:r>
        <w:t xml:space="preserve">Long-lived connections increase the concurrent connection count. With 21 DAs each streaming, need at least 25 uvicorn workers (currently 4). Monitor with Prometheus active_streams gauge.</w:t>
      </w:r>
    </w:p>
    <w:p>
      <w:r>
        <w:br w:type="page"/>
      </w:r>
    </w:p>
    <w:p>
      <w:pPr>
        <w:pStyle w:val="Heading2"/>
      </w:pPr>
      <w:r>
        <w:t xml:space="preserve">2.3 GAP-A03: Query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Rule-Based (Current)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With LLM Expansion (Research)</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Recommendation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Latency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&lt;1ms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50–200ms (GPT4IFX call)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Keep rule-based for simple/medium; LLM only for complex (~10% of queries)</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~2MB (synonym dict in RAM)</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 LLM call overhead</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Accuracy improvement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~10–15% recall for acronym queries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~20–25% recall (research claim)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5–10% incremental improvement from LLM expansion is real but adds latency</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cost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Zero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 tokens per expansion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 LLM calls/day for complex queries</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(60 regex patterns)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(LLM prompt design, response parsing)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Manageable</w:t>
            </w:r>
          </w:p>
        </w:tc>
      </w:tr>
    </w:tbl>
    <w:p>
      <w:pPr>
        <w:spacing w:after="120"/>
      </w:pPr>
      <w:r>
        <w:rPr>
          <w:b/>
          <w:bCs/>
        </w:rPr>
        <w:t xml:space="preserve">Net pipeline impact: </w:t>
      </w:r>
      <w:r>
        <w:t xml:space="preserve">+0ms for 90% of queries (rule-based only). +100ms for 10% of complex queries (LLM expansion). Weighted average: +10ms. Worth it for the recall improvement on complex multi-hop queries.</w:t>
      </w:r>
    </w:p>
    <w:p>
      <w:pPr>
        <w:pStyle w:val="Heading2"/>
      </w:pPr>
      <w:r>
        <w:t xml:space="preserve">2.4 GAP-A04: Context Compression (LongLLMLingua)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Extractive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LongLLMLingua Upgrade</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Compression latency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~5–10ms (regex sentence scoring)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~50–150ms (local 7B model perplexity calc)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10–15x slower but still sub-200ms</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Compression ratio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~2–3x (sentence-level)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~4x (token-level, documented in research)</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33–50% more context fits in budget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Information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~75–80% (heuristic)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~85–90% (perplexity preserves unique tokens)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5–10% improvement in downstream answer quality</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footprint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+0MB (pure Python regex)</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+300–500MB (local 7B quantized model)</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Significant — requires dedicated container memory allocation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Model options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llmlingua-2-bert-base (~110MB) or llmlingua-2-xlm-roberta (~300MB)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Use bert-base variant for minimal memory, still 4x compression</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GPU benefit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2–3x faster with GPU, but works on CPU</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CPU is acceptable for &lt;200ms</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Fallback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Extractive heuristic (current code preserved)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Graceful degradation maintained</w:t>
            </w:r>
          </w:p>
        </w:tc>
      </w:tr>
    </w:tbl>
    <w:p>
      <w:pPr>
        <w:spacing w:after="120"/>
      </w:pPr>
      <w:r>
        <w:rPr>
          <w:b/>
          <w:bCs/>
        </w:rPr>
        <w:t xml:space="preserve">Critical trade-off: </w:t>
      </w:r>
      <w:r>
        <w:t xml:space="preserve">LongLLMLingua adds ~100ms latency and ~300MB memory but produces 33% more effective context. For AICE’s 8K–12K token budgets, this means fitting 3–4 additional KG nodes into context, directly improving answer quality for complex engineering queries. The memory cost is justified.</w:t>
      </w:r>
    </w:p>
    <w:p>
      <w:r>
        <w:br w:type="page"/>
      </w:r>
    </w:p>
    <w:p>
      <w:pPr>
        <w:pStyle w:val="Heading2"/>
      </w:pPr>
      <w:r>
        <w:t xml:space="preserve">2.5 GAP-A05: Batch Ingestion (celery-batches)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(ThreadPoolExecutor)</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With celery-batches</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Throughput (embedding)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Sequential per-file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Batch of 64 chunks → single GPU call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3–5x faster embedding generation</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Throughput (Qdrant)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Per-item upsert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Batch of 100 vectors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2–3x faster upsert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Throughput (Neo4j)</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Per-node MERGE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UNWIND batch of 50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2–3x faster graph writes</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Overall ingestion speed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 files/minute (estimated)</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~300–500 files/minute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3–5x improvement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 during ingestion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+50–100MB (buffer)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Similar (celery-batches buffers in Redis)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Neutral</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Infrastructure cost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None (in-process)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Redis broker required (already running for cache)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Zero additional infra</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(ThreadPoolExecutor)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(Celery worker config, task routing,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Manageable — Celery is already a known pattern in the team</w:t>
            </w:r>
          </w:p>
        </w:tc>
      </w:tr>
    </w:tbl>
    <w:p>
      <w:pPr>
        <w:pStyle w:val="Heading2"/>
      </w:pPr>
      <w:r>
        <w:t xml:space="preserve">2.6 GAP-A06: Batch Graph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Before (N+1)</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After (UNWIND Batch)</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Cypher queries per search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50–200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95–98% reduction</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Neo4j latency per search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~300–800ms (sequential round-trips)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~20–50ms (2–3 batch queries)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85–95% reduction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Connection pool pressure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Saturates 50-connection pool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Uses 3–5 connections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10x reduction in pool contention</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Overall search latency reduction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~200–600ms saved per search</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Single largest performance win</w:t>
            </w:r>
          </w:p>
        </w:tc>
      </w:tr>
      <w:tr>
        <w:trPr>
          <w:tblHeader w:val="false"/>
        </w:trP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~5–10KB per batch (parameter arrays)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r>
      <w:tr>
        <w:trPr>
          <w:tblHeader w:val="false"/>
        </w:trP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(Cypher UNWIND is standard Neo4j)</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implemented and validated</w:t>
            </w:r>
          </w:p>
        </w:tc>
      </w:tr>
    </w:tbl>
    <w:p>
      <w:pPr>
        <w:spacing w:after="120"/>
      </w:pPr>
      <w:r>
        <w:rPr>
          <w:b/>
          <w:bCs/>
        </w:rPr>
        <w:t xml:space="preserve">This remains the single highest-impact optimization in the entire GAP program. </w:t>
      </w:r>
      <w:r>
        <w:t xml:space="preserve">Already validated as matching LightRAG’s approach. No changes needed.</w:t>
      </w:r>
    </w:p>
    <w:p>
      <w:r>
        <w:br w:type="page"/>
      </w:r>
    </w:p>
    <w:p>
      <w:pPr>
        <w:pStyle w:val="Heading2"/>
      </w:pPr>
      <w:r>
        <w:t xml:space="preserve">2.7 GAP-A07: Agentic Context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Custom Agents</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With CRAG + Self-RAG</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Latency per refinement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800–2100ms (1–3 GPT4IFX calls)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1000–2500ms (+1 CRAG validation + 1 Self-RAG reflection)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20–40% latency increase for complex queries</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improvement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~15–20% (estimated, no baseline)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~30–40% (CRAG reports 35% fewer follow-ups)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Significant quality uplift for multi-hop queries</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cost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~300–600 tokens per refinement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~500–1000 tokens (+validation + reflection)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60–70% more tokens per refinement cycle</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Activation rate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 of queries (complex only)</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 guards unchanged</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Cost increase is bounded to complex queries</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 (prompt templates)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change</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(4 agent types + coordinator)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(add CRAG threshold logic + Self-RAG reflection prompts + retry loops)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~150 additional lines in context_refiner.py</w:t>
            </w:r>
          </w:p>
        </w:tc>
      </w:tr>
    </w:tbl>
    <w:p>
      <w:pPr>
        <w:spacing w:after="120"/>
      </w:pPr>
      <w:r>
        <w:rPr>
          <w:b/>
          <w:bCs/>
        </w:rPr>
        <w:t xml:space="preserve">Trade-off: </w:t>
      </w:r>
      <w:r>
        <w:t xml:space="preserve">The 20–40% latency increase only affects the ~10% of queries classified as ‘complex’. For these queries, the 30–40% quality improvement is worth the cost. Simple/medium queries are entirely unaffected.</w:t>
      </w:r>
    </w:p>
    <w:p>
      <w:pPr>
        <w:pStyle w:val="Heading2"/>
      </w:pPr>
      <w:r>
        <w:t xml:space="preserve">2.8 GAP-A08: LLM-as-Judge (DeepEval)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Custom Judge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DeepEval Framework</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Latency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~800ms (single GPT4IFX call)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~1000–1500ms (multiple metric evaluations)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25–90% increase per judged query</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Metrics available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 (factual relevance, contextual fit)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14+ (hallucination, bias, faithfulness, toxicity, etc.)</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7x more diagnostic coverage</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Activation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QUICK + FULL routes only (~30% of queries)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 AUTO bypass preserved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Cost bounded</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cost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 tokens per judgment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~500–1000 tokens (multiple metrics)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2–5x more tokens per judgment</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CI/CD integration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Manual pytest assertions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Native deepeval test runner with regression tracking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Significant engineering velocity improvement</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~50MB (deepeval package + NLI models)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Minimal</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(single LLM call + JSON parse)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(configure metrics, thresholds, test suites)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 lines config, but framework handles the hard parts</w:t>
            </w:r>
          </w:p>
        </w:tc>
      </w:tr>
    </w:tbl>
    <w:p>
      <w:pPr>
        <w:spacing w:after="120"/>
      </w:pPr>
      <w:r>
        <w:rPr>
          <w:b/>
          <w:bCs/>
        </w:rPr>
        <w:t xml:space="preserve">Key insight: </w:t>
      </w:r>
      <w:r>
        <w:t xml:space="preserve">The extra ~500ms latency per judged query adds ~150ms to the weighted average (30% activation rate). The hallucination detection capability alone justifies this — a single hallucinated register address in safety-critical code costs more than any latency budget.</w:t>
      </w:r>
    </w:p>
    <w:p>
      <w:r>
        <w:br w:type="page"/>
      </w:r>
    </w:p>
    <w:p>
      <w:pPr>
        <w:pStyle w:val="Heading2"/>
      </w:pPr>
      <w:r>
        <w:t xml:space="preserve">2.9 GAP-A09: Dynamic Token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Fixed 8K</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Dynamic 4K/8K/12K</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Simple queries (50% of traffic)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8K tokens assembled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4K tokens — 2x faster assembly, 50% fewer LLM input tokens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 token cost reduction for half of all queries</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queries (40%)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8K tokens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8K tokens (unchanged)</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None</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 queries (10%)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8K tokens — truncated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12K tokens — 50% more context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Significant quality improvement for multi-hop queries</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Net GPT4IFX token savings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~20–30% reduction in total input tokens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Direct cost reduction</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Latency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Constant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Faster for simple, slightly slower for complex</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Net neutral</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Constant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 (budget is a config number)</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None</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Zero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(3-line if/else in ContextBuilder)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implemented</w:t>
            </w:r>
          </w:p>
        </w:tc>
      </w:tr>
    </w:tbl>
    <w:p>
      <w:pPr>
        <w:pStyle w:val="Heading2"/>
      </w:pPr>
      <w:r>
        <w:t xml:space="preserve">2.10 GAP-A11: OCR (Tesseract)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Value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Per-page latency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 seconds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Tesseract LSTM engine at 300 DPI</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~50MB (Tesseract process)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Subprocess — memory is released after OCR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Docker image impact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+30MB (tesseract-ocr + poppler-utils)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Small</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Activation rate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&lt;5% of ingested pages (only scanned PDFs)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Detected by &lt;10 chars extractable text heuristic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80–95% accuracy (clean scans)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Degrades on low-resolution or handwritten content</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(subprocess calls)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implemented and validated</w:t>
            </w:r>
          </w:p>
        </w:tc>
      </w:tr>
    </w:tbl>
    <w:p>
      <w:pPr>
        <w:pStyle w:val="Heading2"/>
      </w:pPr>
      <w:r>
        <w:t xml:space="preserve">2.11 GAP-A13: Citation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(Text Overlap)</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With RAGChecker Upgrade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Verification latency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~5–10ms (regex + string matching)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~200–500ms (NLI model inference)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20–50x slower but still sub-second</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Accuracy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~70–80% (misses paraphrased claims)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~90–95% (semantic entailment catches paraphrases)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15–20% improvement in hallucination detection</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~200MB (NLI model)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Moderate</w:t>
            </w:r>
          </w:p>
        </w:tc>
      </w:tr>
      <w:tr>
        <w:trPr>
          <w:tblHeader w:val="false"/>
        </w:trP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Activation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All DA responses (post-generation)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Unchanged</w:t>
            </w:r>
          </w:p>
        </w:tc>
      </w:tr>
      <w:tr>
        <w:trPr>
          <w:tblHeader w:val="false"/>
        </w:trP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(regex + set intersection)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(NLI model loading, entailment scoring, atomic decomposition)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Adds ~200 lines</w:t>
            </w:r>
          </w:p>
        </w:tc>
      </w:tr>
    </w:tbl>
    <w:p>
      <w:pPr>
        <w:spacing w:after="120"/>
      </w:pPr>
      <w:r>
        <w:rPr>
          <w:b/>
          <w:bCs/>
        </w:rPr>
        <w:t xml:space="preserve">Architecture note: </w:t>
      </w:r>
      <w:r>
        <w:t xml:space="preserve">Keep our fast text-overlap as the first pass (catches 70–80% of claims in 10ms). RAGChecker semantic entailment runs only on claims not verified by the fast pass. Expected: 70% fast-verified + 20% RAGChecker-verified + 10% flagged. Average latency: ~60ms (not 500ms).</w:t>
      </w:r>
    </w:p>
    <w:p>
      <w:pPr>
        <w:pStyle w:val="Heading2"/>
      </w:pPr>
      <w:r>
        <w:t xml:space="preserve">2.12 GAP-A14: Few-Shot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Value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Notes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Retrieval latency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~10–20ms (Qdrant similarity search)</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as any Qdrant query</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Prompt size increase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+200–500 tokens (2–3 examples)</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Increases GPT4IFX input cost by ~5–10%</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improvement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~15–22% response consistency (research claim)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Most impactful for code generation and test generation DAs</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 (reuses existing Qdrant client)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additional infrastructure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implemented and validated</w:t>
            </w:r>
          </w:p>
        </w:tc>
      </w:tr>
    </w:tbl>
    <w:p>
      <w:r>
        <w:br w:type="page"/>
      </w:r>
    </w:p>
    <w:p>
      <w:pPr>
        <w:pStyle w:val="Heading1"/>
      </w:pPr>
      <w:r>
        <w:t xml:space="preserve">3. New Automotive Features — Performance &amp; Complexity</w:t>
      </w:r>
    </w:p>
    <w:p>
      <w:pPr>
        <w:pStyle w:val="Heading2"/>
      </w:pPr>
      <w:r>
        <w:t xml:space="preserve">3.1 Automated Unit Test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Dimension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Assessment</w:t>
            </w:r>
          </w:p>
        </w:tc>
        <w:tc>
          <w:tcPr>
            <w:tcW w:type="dxa" w:w="6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Detail</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End-to-end latency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10–60 seconds per function</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Includes: KG dependency traversal (~200ms) + GPT4IFX test generation (~2–5s) + compilation (~1–5s) + error parsing + iteration (2–3 cycles)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token cost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2000–5000 tokens per test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Function AST + dependencies + mock targets + test framework template + generated test</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expectation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60–80% first-pass compilable</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Research (ChatUniTest): 68% pass@1 for Java. C embedded will be lower due to HW mocking complexity. Iterative refinement reaches 85–90%.</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 ~50MB (Tree-sitter parser + AST)</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Reuses existing Tree-sitter C parser from ingestion pipeline</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Infrastructure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Needs cross-compiler toolchain</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AURIX Tasking/GCC compiler must be accessible. Docker sidecar or CI runner.</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Integration complexity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13 story points</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task handlers, compilation loop, mock identification from KG, Embedded-Test framework integration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Risk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HW register mocking is the hard part. ChatUniTest patterns work for pure software; AURIX peripheral mocks require domain templates.</w:t>
            </w:r>
          </w:p>
        </w:tc>
      </w:tr>
    </w:tbl>
    <w:p>
      <w:pPr>
        <w:pStyle w:val="Heading2"/>
      </w:pPr>
      <w:r>
        <w:t xml:space="preserve">3.2 MISRA C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Dimension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Assessment</w:t>
            </w:r>
          </w:p>
        </w:tc>
        <w:tc>
          <w:tcPr>
            <w:tcW w:type="dxa" w:w="6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Detail</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End-to-end latency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3–10 seconds per violation</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Parse violation (~10ms) + KG rule retrieval (~50ms) + GPT4IFX code generation (~2–5s) + compliance matrix generation (~1s)</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token cost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1000–3000 tokens per violation</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Violation context + MISRA rule text + original code block + refactored code + explanation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expectation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80–90% correct remediation</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Research (METU thesis): LLMs achieve 85% MISRA compliance on generated code. Key risk: type-casting rules require precise understanding.</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Reuses existing Polyspace parser from result_processors.py</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Integration complexity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13 story points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have Polyspace parsing. Need: MISRA rule KG nodes, remediation prompt templates, Polarion export format.</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Risk</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LOW–MEDIUM</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MISRA rules are well-defined. LLM can sometimes introduce new violations while fixing one (need re-check loop).</w:t>
            </w:r>
          </w:p>
        </w:tc>
      </w:tr>
    </w:tbl>
    <w:p>
      <w:pPr>
        <w:pStyle w:val="Heading2"/>
      </w:pPr>
      <w:r>
        <w:t xml:space="preserve">3.3 AI-Assisted FMEA/FMEDA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Dimension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Assessment</w:t>
            </w:r>
          </w:p>
        </w:tc>
        <w:tc>
          <w:tcPr>
            <w:tcW w:type="dxa" w:w="6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Detail</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End-to-end latency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2–10 minutes per module</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Recursive KG traversal of entire HW-SW interface + multi-agent failure mode enumeration + severity scoring + spreadsheet generation</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token cost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10,000–50,000 tokens per FMEA</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Multiple agent calls: HW interface mapping, failure mode proposal, severity assessment, mitigation recommendation</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expectation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50–70% completeness vs. human expert</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Research (LLMRiskAnalyzer): LLMs identify 60–75% of failure modes that experts find. Value is in acceleration, not replacement.</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~200MB</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Full KG subgraph loaded for traversal + agent context windows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Integration complexity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21 story points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DA, new FMEA schema in KG, multi-agent orchestration, ISO 26262 severity/occurrence/detection scales, spreadsheet export</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Risk</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Safety analysis requires domain expert validation. Incorrect severity ratings could be dangerous. MUST be human-reviewed (FULL review gate always).</w:t>
            </w:r>
          </w:p>
        </w:tc>
      </w:tr>
    </w:tbl>
    <w:p>
      <w:pPr>
        <w:pStyle w:val="Heading2"/>
      </w:pPr>
      <w:r>
        <w:t xml:space="preserve">3.4 Formal Verification Bridge (CBMC)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Dimension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Assessment</w:t>
            </w:r>
          </w:p>
        </w:tc>
        <w:tc>
          <w:tcPr>
            <w:tcW w:type="dxa" w:w="6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Detail</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End-to-end latency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30s–10 minutes per verification</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LLM assertion generation (~5s) + CBMC bounded model checking (10s–10min depending on loop bounds and memory model)</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Infrastructure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CBMC installation, SAT solver, may need significant RAM for complex proofs (4–16GB for large functions)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Quality expectation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40–60% first-pass valid assertions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Research (SpecVerify): LLMs generate syntactically correct but semantically imprecise assertions. Iterative refinement needed.</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Memory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1–16GB</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CBMC SAT solving is memory-intensive. Requires dedicated container or VM.</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Integration complexity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21 story points</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DA, CBMC wrapper, assertion template library, proof interpretation, requirement-to-assertion mapping</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Risk</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6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Cutting-edge research. CBMC may not terminate on complex embedded code. False positives/negatives require expert interpretation.</w:t>
            </w:r>
          </w:p>
        </w:tc>
      </w:tr>
    </w:tbl>
    <w:p>
      <w:r>
        <w:br w:type="page"/>
      </w:r>
    </w:p>
    <w:p>
      <w:pPr>
        <w:pStyle w:val="Heading1"/>
      </w:pPr>
      <w:r>
        <w:t xml:space="preserve">4. Cumulative Pipeline Impact</w:t>
      </w:r>
    </w:p>
    <w:p>
      <w:pPr>
        <w:spacing w:after="120"/>
      </w:pPr>
      <w:r>
        <w:t xml:space="preserve">The following table shows the additive latency impact of each GAP stage on a typical hybrid search query, comparing the current pipeline with the fully-upgraded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200"/>
        <w:gridCol w:w="26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Pipeline Stage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Latency</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Upgraded Latency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Delta</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Activation Rate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 Query Enhancement (rule-based)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1b. Query Enhancement (LLM expansion)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+100ms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+100ms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 (complex only)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 Graph Search (Neo4j)</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~50–100ms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~50–100ms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 Entity Lookup</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~20–50ms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~20–50ms (batch)</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 Vector Search (Qdrant)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~30–80ms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~30–80ms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RRF Merge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~2ms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~2ms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 Batch Relationship Enrich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~200–600ms (N+1 fallback)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+20–50ms (UNWIND)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−180–550ms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When include_relationships=true</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 Cross-Encoder Reranking</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+20ms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+20ms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 (semantic queries)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 LLM-as-Judge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+1000ms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 (QUICK/FULL only)</w:t>
            </w:r>
          </w:p>
        </w:tc>
      </w:tr>
      <w:tr>
        <w:trPr>
          <w:tblHeader w:val="false"/>
        </w:trP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9. Context Compression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~5ms (extractive)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+100ms (LongLLMLingua)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+95ms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 ContextBuilder assembly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0ms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w:t>
            </w:r>
          </w:p>
        </w:tc>
      </w:tr>
    </w:tbl>
    <w:p>
      <w:pPr>
        <w:pStyle w:val="Heading3"/>
      </w:pPr>
      <w:r>
        <w:t xml:space="preserve">Weighted Average Latency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Query Type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 Total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Upgraded Total</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Net Change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Simple (50%): entity lookup, factual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~120–300ms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~150–250ms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 to −50ms (compression faster path via 4K budget, batch graph saves time)</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(40%): documentation, how-to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~150–400ms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~200–400ms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 to +50ms (reranking adds 20ms, compression adds 100ms, batch saves 200ms)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Complex (10%): multi-hop, traceability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~300–1000ms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~500–1500ms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+200–500ms (LLM expansion + judge + refinement)</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Weighted average (all queries)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~160–400ms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~200–400ms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 to +40ms net</w:t>
            </w:r>
          </w:p>
        </w:tc>
      </w:tr>
    </w:tbl>
    <w:p>
      <w:pPr>
        <w:spacing w:after="120"/>
      </w:pPr>
      <w:r>
        <w:rPr>
          <w:b/>
          <w:bCs/>
        </w:rPr>
        <w:t xml:space="preserve">Key finding: </w:t>
      </w:r>
      <w:r>
        <w:t xml:space="preserve">The fully-upgraded pipeline has approximately the same weighted-average latency as the current pipeline because batch graph query savings (−200–550ms) offset the new stages (+20ms reranking + 100ms compression). Complex queries are 200–500ms slower but produce dramatically better results. Simple queries may actually be faster due to the 4K token budget reducing context assembly work.</w:t>
      </w:r>
    </w:p>
    <w:p>
      <w:r>
        <w:br w:type="page"/>
      </w:r>
    </w:p>
    <w:p>
      <w:pPr>
        <w:pStyle w:val="Heading1"/>
      </w:pPr>
      <w:r>
        <w:t xml:space="preserve">5. Resource &amp; Infrastructure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Resource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Current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After All Upgrades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Delta</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Docker image size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~2.5GB (PyTorch + models)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~800MB–1.0GB (FlashRank ONNX + LLMLingua bert-base + deepeval)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~60% reduction</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Runtime RAM</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~500–700MB</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~700–900MB (+LLMLingua ~300MB, +RAGChecker ~200MB, −PyTorch ~350MB)</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~100–200MB increase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GPT4IFX token cost/day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~50K tokens (RLM + synthesis)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~80–120K tokens (+judge +compression +refinement +expansion)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60–140% increase</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Redis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running (cache)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Same (Celery broker reuses it)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Zero</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Neo4j</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change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change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Zero</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Qdrant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No change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 few_shot_examples collection (~10MB)</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Negligible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CPU cores needed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2–4 cores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 cores (LLMLingua + FlashRank are CPU-bound)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 additional core</w:t>
            </w:r>
          </w:p>
        </w:tc>
      </w:tr>
      <w:tr>
        <w:trPr>
          <w:tblHeader w:val="false"/>
        </w:trP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Uvicorn workers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8–12 (streaming increases concurrent connections)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2–3x more workers</w:t>
            </w:r>
          </w:p>
        </w:tc>
      </w:tr>
    </w:tbl>
    <w:p>
      <w:r>
        <w:br w:type="page"/>
      </w:r>
    </w:p>
    <w:p>
      <w:pPr>
        <w:pStyle w:val="Heading1"/>
      </w:pPr>
      <w:r>
        <w:t xml:space="preserve">6. Complexity Scorecard</w:t>
      </w:r>
    </w:p>
    <w:p>
      <w:pPr>
        <w:spacing w:after="120"/>
      </w:pPr>
      <w:r>
        <w:t xml:space="preserve">Each feature is rated on implementation complexity (how hard to build), integration complexity (how hard to wire into existing AICE), operational complexity (how hard to run and monitor), and risk (what can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800"/>
        <w:gridCol w:w="800"/>
        <w:gridCol w:w="800"/>
        <w:gridCol w:w="800"/>
        <w:gridCol w:w="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Impl.</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Integ.</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Ops.</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Total</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Story Pts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A01: FlashRank swap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A02: MCP SDK streaming</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A03: LLM query expansion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A04: LongLLMLingua</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A05: celery-batches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A06: Batch graph (done)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A07: CRAG + Self-RAG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A08: DeepEval judge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1.5/5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A09: Dynamic budget (done)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A11: OCR (done)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A13: RAGChecker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A14: Few-shot (done)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Unit test gen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MISRA remediation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2.5/5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FMEA automation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21</w:t>
            </w:r>
          </w:p>
        </w:tc>
      </w:tr>
      <w:tr>
        <w:trPr>
          <w:tblHeader w:val="false"/>
        </w:trP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Formal verification</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4.5/5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21</w:t>
            </w:r>
          </w:p>
        </w:tc>
      </w:tr>
    </w:tbl>
    <w:p>
      <w:r>
        <w:br w:type="page"/>
      </w:r>
    </w:p>
    <w:p>
      <w:pPr>
        <w:pStyle w:val="Heading1"/>
      </w:pPr>
      <w:r>
        <w:t xml:space="preserve">7. Priority Ranking (Impact/Effort Ratio)</w:t>
      </w:r>
    </w:p>
    <w:p>
      <w:pPr>
        <w:spacing w:after="120"/>
      </w:pPr>
      <w:r>
        <w:t xml:space="preserve">Features ranked by impact-to-effort ratio, combining performance improvement, quality improvement, and risk reduction per story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900"/>
        <w:gridCol w:w="1100"/>
        <w:gridCol w:w="2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Rank</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Feature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Impact</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Effort</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Ratio</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Recommendation</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A01: FlashRank swap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(Docker −1.9GB, 10x faster reranking)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HIGHEST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 first — 1 hour to swap, massive dep reduction</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A06: Batch graph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CRITICAL (−200–550ms per search)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0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DONE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Already implemented</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A04: LongLLMLingua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(4x compression, preserves identifiers)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 in Sprint 12 — directly improves answer quality</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A02: MCP SDK streaming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(user-perceived latency −60–80%)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 in Sprint 12 — blocks DA UX improvement</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A08: DeepEval judge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(hallucination detection for automotive)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 in Sprint 13 — safety-critical quality metric</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6</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MISRA remediation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(saves 30–50% of code review time)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Highest-ROI new feature — leverages existing Polyspace parser</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A13: RAGChecker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MEDIUM–HIGH (catches paraphrased hallucinations)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Do in Sprint 13 — pairs with DeepEval</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A07: CRAG + Self-RAG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(30–40% quality for complex queries)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14</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A03: LLM expansion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LOW–MEDIUM (+5–10% recall for complex queries)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3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14 — quick add</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Unit test gen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VERY HIGH (eliminate manual test writing)</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18–19</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A05: celery-batches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(3–5x ingestion throughput)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5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15</w:t>
            </w:r>
          </w:p>
        </w:tc>
      </w:tr>
      <w:tr>
        <w:trPr>
          <w:tblHeader w:val="false"/>
        </w:trP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FMEA automation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HIGH (accelerate safety analysis)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21 pts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LOW–MEDIUM</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20–22 — requires safety domain validation</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NEW: Formal verification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MEDIUM (cutting-edge, high risk)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21 pts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000000"/>
                <w:sz w:val="19"/>
                <w:szCs w:val="19"/>
              </w:rPr>
              <w:t xml:space="preserve">Sprint 22–24 — research project, not production</w:t>
            </w:r>
          </w:p>
        </w:tc>
      </w:tr>
    </w:tbl>
    <w:p>
      <w:r>
        <w:br w:type="page"/>
      </w:r>
    </w:p>
    <w:p>
      <w:pPr>
        <w:pStyle w:val="Heading1"/>
      </w:pPr>
      <w:r>
        <w:t xml:space="preserve">8. Conclusion</w:t>
      </w:r>
    </w:p>
    <w:p>
      <w:pPr>
        <w:spacing w:after="120"/>
      </w:pPr>
      <w:r>
        <w:t xml:space="preserve">The performance analysis reveals a nuanced picture. The GAP upgrades are not uniformly “faster” — they trade small latency increases in specific pipeline stages for large quality improvements. The key insights are:</w:t>
      </w:r>
    </w:p>
    <w:p>
      <w:pPr>
        <w:pStyle w:val="ListParagraph"/>
        <w:numPr>
          <w:ilvl w:val="0"/>
          <w:numId w:val="2"/>
        </w:numPr>
        <w:spacing w:after="80"/>
      </w:pPr>
      <w:r>
        <w:rPr>
          <w:b/>
          <w:bCs/>
        </w:rPr>
        <w:t xml:space="preserve">Net pipeline latency is approximately neutral. </w:t>
      </w:r>
      <w:r>
        <w:t xml:space="preserve">Batch graph savings (−200–550ms) offset reranking (+20ms), compression (+100ms), and judging (+1000ms for 30% of queries). Simple queries may actually be faster.</w:t>
      </w:r>
    </w:p>
    <w:p>
      <w:pPr>
        <w:pStyle w:val="ListParagraph"/>
        <w:numPr>
          <w:ilvl w:val="0"/>
          <w:numId w:val="2"/>
        </w:numPr>
        <w:spacing w:after="80"/>
      </w:pPr>
      <w:r>
        <w:rPr>
          <w:b/>
          <w:bCs/>
        </w:rPr>
        <w:t xml:space="preserve">Docker image shrinks dramatically (−60%). </w:t>
      </w:r>
      <w:r>
        <w:t xml:space="preserve">FlashRank replacing PyTorch is the single biggest operational improvement. 2.5GB → ~900MB.</w:t>
      </w:r>
    </w:p>
    <w:p>
      <w:pPr>
        <w:pStyle w:val="ListParagraph"/>
        <w:numPr>
          <w:ilvl w:val="0"/>
          <w:numId w:val="2"/>
        </w:numPr>
        <w:spacing w:after="80"/>
      </w:pPr>
      <w:r>
        <w:rPr>
          <w:b/>
          <w:bCs/>
        </w:rPr>
        <w:t xml:space="preserve">GPT4IFX token cost increases 60–140%. </w:t>
      </w:r>
      <w:r>
        <w:t xml:space="preserve">This is the primary ongoing cost. Mitigated by: (a) dynamic budget saves 20–30% on simple queries, (b) LongLLMLingua reduces context tokens by 33%, (c) judge only runs on QUICK/FULL routes.</w:t>
      </w:r>
    </w:p>
    <w:p>
      <w:pPr>
        <w:pStyle w:val="ListParagraph"/>
        <w:numPr>
          <w:ilvl w:val="0"/>
          <w:numId w:val="2"/>
        </w:numPr>
        <w:spacing w:after="80"/>
      </w:pPr>
      <w:r>
        <w:rPr>
          <w:b/>
          <w:bCs/>
        </w:rPr>
        <w:t xml:space="preserve">FlashRank swap is the highest-ROI action. </w:t>
      </w:r>
      <w:r>
        <w:t xml:space="preserve">2 story points, 1 hour of work, eliminates 1.9GB of dependencies, 10x faster reranking. Do this immediately.</w:t>
      </w:r>
    </w:p>
    <w:p>
      <w:pPr>
        <w:pStyle w:val="ListParagraph"/>
        <w:numPr>
          <w:ilvl w:val="0"/>
          <w:numId w:val="2"/>
        </w:numPr>
        <w:spacing w:after="80"/>
      </w:pPr>
      <w:r>
        <w:rPr>
          <w:b/>
          <w:bCs/>
        </w:rPr>
        <w:t xml:space="preserve">MISRA remediation is the highest-ROI new feature. </w:t>
      </w:r>
      <w:r>
        <w:t xml:space="preserve">Directly targets 30–50% of code review time, builds on existing Polyspace parser, and addresses the most tedious part of MCAL development.</w:t>
      </w:r>
    </w:p>
    <w:p>
      <w:pPr>
        <w:pStyle w:val="ListParagraph"/>
        <w:numPr>
          <w:ilvl w:val="0"/>
          <w:numId w:val="2"/>
        </w:numPr>
        <w:spacing w:after="80"/>
      </w:pPr>
      <w:r>
        <w:rPr>
          <w:b/>
          <w:bCs/>
        </w:rPr>
        <w:t xml:space="preserve">Formal verification is a research project, not a Sprint deliverable. </w:t>
      </w:r>
      <w:r>
        <w:t xml:space="preserve">CBMC integration is viable but requires 1–16GB RAM for SAT solving, expert interpretation of results, and may not terminate on complex embedded code. Schedule as an exploratory initiative, not a committed deliverable.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color w:val="666666"/>
        <w:sz w:val="18"/>
        <w:szCs w:val="18"/>
      </w:rPr>
      <w:t xml:space="preserve">Infineon Technologies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666666"/>
        <w:sz w:val="18"/>
        <w:szCs w:val="18"/>
      </w:rPr>
      <w:t xml:space="preserve">Performance Impact &amp; Complexity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2026-04-07T03:28:40.320Z</dcterms:created>
  <dcterms:modified xsi:type="dcterms:W3CDTF">2026-04-07T03:28:40.328Z</dcterms:modified>
</cp:coreProperties>
</file>

<file path=docProps/custom.xml><?xml version="1.0" encoding="utf-8"?>
<Properties xmlns="http://schemas.openxmlformats.org/officeDocument/2006/custom-properties" xmlns:vt="http://schemas.openxmlformats.org/officeDocument/2006/docPropsVTypes"/>
</file>