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rFonts w:ascii="Segoe UI" w:hAnsi="Segoe UI"/>
          <w:b/>
          <w:color w:val="0B2540"/>
          <w:sz w:val="64"/>
        </w:rPr>
        <w:t>ANALYTIX PLATFORM</w:t>
      </w:r>
    </w:p>
    <w:p>
      <w:pPr>
        <w:spacing w:after="480"/>
      </w:pPr>
      <w:r>
        <w:rPr>
          <w:rFonts w:ascii="Segoe UI" w:hAnsi="Segoe UI"/>
          <w:color w:val="0078D4"/>
          <w:sz w:val="28"/>
        </w:rPr>
        <w:t>Enterprise Inputs &amp; Outputs Reference Guide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36" w:space="0" w:color="0078D4"/>
              <w:bottom w:val="none"/>
              <w:right w:val="none"/>
            </w:tcBorders>
          </w:tcPr>
          <w:p>
            <w:pPr>
              <w:spacing w:before="160" w:after="160"/>
              <w:ind w:left="216"/>
            </w:pPr>
            <w:r>
              <w:rPr>
                <w:rFonts w:ascii="Segoe UI" w:hAnsi="Segoe UI"/>
                <w:color w:val="64748B"/>
                <w:sz w:val="19"/>
              </w:rPr>
              <w:t>Document Type: Product Technical Specification</w:t>
              <w:br/>
              <w:t>Classification: CONFIDENTIAL - Evaluation Only</w:t>
              <w:br/>
              <w:t>Azure Marketplace Reference: AnalytiX-v4.2-Overview</w:t>
              <w:br/>
              <w:t>Compliance Environment: FDA 21 CFR Part 11 Compliant</w:t>
              <w:br/>
              <w:t>Publisher: AnalytiX Product Engineering &amp; Compliance Group</w:t>
              <w:br/>
              <w:t>Last Updated: June 2026</w:t>
            </w:r>
          </w:p>
        </w:tc>
      </w:tr>
    </w:tbl>
    <w:p>
      <w:r>
        <w:br w:type="page"/>
      </w:r>
    </w:p>
    <w:p>
      <w:pPr>
        <w:keepNext/>
        <w:spacing w:before="240" w:after="120"/>
      </w:pPr>
      <w:r>
        <w:rPr>
          <w:rFonts w:ascii="Segoe UI" w:hAnsi="Segoe UI"/>
          <w:b/>
          <w:color w:val="0078D4"/>
          <w:sz w:val="36"/>
        </w:rPr>
        <w:t>Section 1: Supported Data Inputs</w:t>
      </w:r>
    </w:p>
    <w:p>
      <w:r>
        <w:t>AnalytiX features modular data connector adapters designed to bridge dry-lab calculations with live systems. It acts as a secure data federation fabric, allowing scientists to access scattered data in one place.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8" w:space="0" w:color="CBD5E1"/>
          <w:right w:val="none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0078D4"/>
          </w:tcPr>
          <w:p>
            <w:pPr>
              <w:spacing w:before="120" w:after="120"/>
            </w:pPr>
            <w:r>
              <w:rPr>
                <w:rFonts w:ascii="Segoe UI" w:hAnsi="Segoe UI"/>
                <w:b/>
                <w:color w:val="FFFFFF"/>
                <w:sz w:val="20"/>
              </w:rPr>
              <w:t>Ingestion Category</w:t>
            </w:r>
          </w:p>
        </w:tc>
        <w:tc>
          <w:tcPr>
            <w:tcW w:type="dxa" w:w="4680"/>
            <w:shd w:fill="0078D4"/>
          </w:tcPr>
          <w:p>
            <w:pPr>
              <w:spacing w:before="120" w:after="120"/>
            </w:pPr>
            <w:r>
              <w:rPr>
                <w:rFonts w:ascii="Segoe UI" w:hAnsi="Segoe UI"/>
                <w:b/>
                <w:color w:val="FFFFFF"/>
                <w:sz w:val="20"/>
              </w:rPr>
              <w:t>Details &amp; Supported Ingest Formats</w:t>
            </w:r>
          </w:p>
        </w:tc>
      </w:tr>
      <w:tr>
        <w:tc>
          <w:tcPr>
            <w:tcW w:type="dxa" w:w="4680"/>
            <w:shd w:fill="F8FAFC"/>
          </w:tcPr>
          <w:p>
            <w:pPr>
              <w:spacing w:before="100" w:after="100"/>
            </w:pPr>
            <w:r>
              <w:rPr>
                <w:rFonts w:ascii="Segoe UI" w:hAnsi="Segoe UI"/>
                <w:b/>
                <w:color w:val="0B2540"/>
                <w:sz w:val="19"/>
              </w:rPr>
              <w:t>Laboratory Systems</w:t>
            </w:r>
          </w:p>
        </w:tc>
        <w:tc>
          <w:tcPr>
            <w:tcW w:type="dxa" w:w="4680"/>
            <w:shd w:fill="F8FAFC"/>
          </w:tcPr>
          <w:p>
            <w:pPr>
              <w:spacing w:before="100" w:after="100"/>
            </w:pPr>
            <w:r>
              <w:rPr>
                <w:rFonts w:ascii="Segoe UI" w:hAnsi="Segoe UI"/>
                <w:sz w:val="19"/>
              </w:rPr>
              <w:t>ELN (Benchling, Dotmatics, Signals Notebook)</w:t>
              <w:br/>
              <w:t>LIMS (LabWare, LabVantage, STARLIMS)</w:t>
            </w:r>
          </w:p>
        </w:tc>
      </w:tr>
      <w:tr>
        <w:tc>
          <w:tcPr>
            <w:tcW w:type="dxa" w:w="4680"/>
          </w:tcPr>
          <w:p>
            <w:pPr>
              <w:spacing w:before="100" w:after="100"/>
            </w:pPr>
            <w:r>
              <w:rPr>
                <w:rFonts w:ascii="Segoe UI" w:hAnsi="Segoe UI"/>
                <w:b/>
                <w:color w:val="0B2540"/>
                <w:sz w:val="19"/>
              </w:rPr>
              <w:t>Enterprise Databases</w:t>
            </w:r>
          </w:p>
        </w:tc>
        <w:tc>
          <w:tcPr>
            <w:tcW w:type="dxa" w:w="4680"/>
          </w:tcPr>
          <w:p>
            <w:pPr>
              <w:spacing w:before="100" w:after="100"/>
            </w:pPr>
            <w:r>
              <w:rPr>
                <w:rFonts w:ascii="Segoe UI" w:hAnsi="Segoe UI"/>
                <w:sz w:val="19"/>
              </w:rPr>
              <w:t>PostgreSQL, Oracle, SQL Server, Snowflake, MySQL</w:t>
            </w:r>
          </w:p>
        </w:tc>
      </w:tr>
      <w:tr>
        <w:tc>
          <w:tcPr>
            <w:tcW w:type="dxa" w:w="4680"/>
            <w:shd w:fill="F8FAFC"/>
          </w:tcPr>
          <w:p>
            <w:pPr>
              <w:spacing w:before="100" w:after="100"/>
            </w:pPr>
            <w:r>
              <w:rPr>
                <w:rFonts w:ascii="Segoe UI" w:hAnsi="Segoe UI"/>
                <w:b/>
                <w:color w:val="0B2540"/>
                <w:sz w:val="19"/>
              </w:rPr>
              <w:t>Scientific File Formats</w:t>
            </w:r>
          </w:p>
        </w:tc>
        <w:tc>
          <w:tcPr>
            <w:tcW w:type="dxa" w:w="4680"/>
            <w:shd w:fill="F8FAFC"/>
          </w:tcPr>
          <w:p>
            <w:pPr>
              <w:spacing w:before="100" w:after="100"/>
            </w:pPr>
            <w:r>
              <w:rPr>
                <w:rFonts w:ascii="Segoe UI" w:hAnsi="Segoe UI"/>
                <w:sz w:val="19"/>
              </w:rPr>
              <w:t>CSV, Excel, JSON, XML, FASTA</w:t>
            </w:r>
          </w:p>
        </w:tc>
      </w:tr>
      <w:tr>
        <w:tc>
          <w:tcPr>
            <w:tcW w:type="dxa" w:w="4680"/>
          </w:tcPr>
          <w:p>
            <w:pPr>
              <w:spacing w:before="100" w:after="100"/>
            </w:pPr>
            <w:r>
              <w:rPr>
                <w:rFonts w:ascii="Segoe UI" w:hAnsi="Segoe UI"/>
                <w:b/>
                <w:color w:val="0B2540"/>
                <w:sz w:val="19"/>
              </w:rPr>
              <w:t>Interfaces &amp; Cloud</w:t>
            </w:r>
          </w:p>
        </w:tc>
        <w:tc>
          <w:tcPr>
            <w:tcW w:type="dxa" w:w="4680"/>
          </w:tcPr>
          <w:p>
            <w:pPr>
              <w:spacing w:before="100" w:after="100"/>
            </w:pPr>
            <w:r>
              <w:rPr>
                <w:rFonts w:ascii="Segoe UI" w:hAnsi="Segoe UI"/>
                <w:sz w:val="19"/>
              </w:rPr>
              <w:t>REST APIs, SOAP APIs, Cloud Storage (AWS S3, Azure Blob, GCS), Secure FTP/SFTP</w:t>
            </w:r>
          </w:p>
        </w:tc>
      </w:tr>
      <w:tr>
        <w:tc>
          <w:tcPr>
            <w:tcW w:type="dxa" w:w="4680"/>
            <w:shd w:fill="F8FAFC"/>
          </w:tcPr>
          <w:p>
            <w:pPr>
              <w:spacing w:before="100" w:after="100"/>
            </w:pPr>
            <w:r>
              <w:rPr>
                <w:rFonts w:ascii="Segoe UI" w:hAnsi="Segoe UI"/>
                <w:b/>
                <w:color w:val="0B2540"/>
                <w:sz w:val="19"/>
              </w:rPr>
              <w:t>Scientific Data Objects</w:t>
            </w:r>
          </w:p>
        </w:tc>
        <w:tc>
          <w:tcPr>
            <w:tcW w:type="dxa" w:w="4680"/>
            <w:shd w:fill="F8FAFC"/>
          </w:tcPr>
          <w:p>
            <w:pPr>
              <w:spacing w:before="100" w:after="100"/>
            </w:pPr>
            <w:r>
              <w:rPr>
                <w:rFonts w:ascii="Segoe UI" w:hAnsi="Segoe UI"/>
                <w:sz w:val="19"/>
              </w:rPr>
              <w:t>Compound Structures, SMILES, Assay Results, Experimental Results, DNA/RNA/Protein sequences, Workflow Data, SHA-256 Audit Logs, User Session details</w:t>
            </w:r>
          </w:p>
        </w:tc>
      </w:tr>
    </w:tbl>
    <w:p>
      <w:pPr>
        <w:spacing w:after="200"/>
      </w:pPr>
    </w:p>
    <w:p>
      <w:pPr>
        <w:keepNext/>
        <w:spacing w:before="240" w:after="120"/>
      </w:pPr>
      <w:r>
        <w:rPr>
          <w:rFonts w:ascii="Segoe UI" w:hAnsi="Segoe UI"/>
          <w:b/>
          <w:color w:val="0078D4"/>
          <w:sz w:val="36"/>
        </w:rPr>
        <w:t>Section 2: Platform Ingest &amp; Processing</w:t>
      </w:r>
    </w:p>
    <w:p>
      <w:r>
        <w:t>Ingested data is processed using containerized microservice pipelines. Tasks include metadata mapping, standardization, and computational scientific analysis in a validated FDA 21 CFR Part 11 compliant environment.</w:t>
      </w:r>
    </w:p>
    <w:p>
      <w:pPr>
        <w:pStyle w:val="ListBullet"/>
        <w:spacing w:after="60"/>
      </w:pPr>
      <w:r>
        <w:rPr>
          <w:rFonts w:ascii="Segoe UI" w:hAnsi="Segoe UI"/>
          <w:b/>
        </w:rPr>
        <w:t>Data Validation &amp; Quality Checks:</w:t>
      </w:r>
      <w:r>
        <w:rPr>
          <w:rFonts w:ascii="Segoe UI" w:hAnsi="Segoe UI"/>
        </w:rPr>
        <w:t xml:space="preserve"> Ensures schema integrity and filters out malformed chemical structures.</w:t>
      </w:r>
    </w:p>
    <w:p>
      <w:pPr>
        <w:pStyle w:val="ListBullet"/>
        <w:spacing w:after="60"/>
      </w:pPr>
      <w:r>
        <w:rPr>
          <w:rFonts w:ascii="Segoe UI" w:hAnsi="Segoe UI"/>
          <w:b/>
        </w:rPr>
        <w:t>Schema &amp; Metadata Discovery:</w:t>
      </w:r>
      <w:r>
        <w:rPr>
          <w:rFonts w:ascii="Segoe UI" w:hAnsi="Segoe UI"/>
        </w:rPr>
        <w:t xml:space="preserve"> Scans connected DBs and indexes attributes dynamically inside an EAV Catalog.</w:t>
      </w:r>
    </w:p>
    <w:p>
      <w:pPr>
        <w:pStyle w:val="ListBullet"/>
        <w:spacing w:after="60"/>
      </w:pPr>
      <w:r>
        <w:rPr>
          <w:rFonts w:ascii="Segoe UI" w:hAnsi="Segoe UI"/>
          <w:b/>
        </w:rPr>
        <w:t>Federated Query Execution:</w:t>
      </w:r>
      <w:r>
        <w:rPr>
          <w:rFonts w:ascii="Segoe UI" w:hAnsi="Segoe UI"/>
        </w:rPr>
        <w:t xml:space="preserve"> Safely queries databases across sources in real-time, eliminating local copy duplicates.</w:t>
      </w:r>
    </w:p>
    <w:p>
      <w:pPr>
        <w:pStyle w:val="ListBullet"/>
        <w:spacing w:after="60"/>
      </w:pPr>
      <w:r>
        <w:rPr>
          <w:rFonts w:ascii="Segoe UI" w:hAnsi="Segoe UI"/>
          <w:b/>
        </w:rPr>
        <w:t>Cheminformatics &amp; Bioinformatics:</w:t>
      </w:r>
      <w:r>
        <w:rPr>
          <w:rFonts w:ascii="Segoe UI" w:hAnsi="Segoe UI"/>
        </w:rPr>
        <w:t xml:space="preserve"> Calculates molecular descriptors, global/local alignments, and 4-Parameter curve fits.</w:t>
      </w:r>
    </w:p>
    <w:p>
      <w:pPr>
        <w:pStyle w:val="ListBullet"/>
        <w:spacing w:after="60"/>
      </w:pPr>
      <w:r>
        <w:rPr>
          <w:rFonts w:ascii="Segoe UI" w:hAnsi="Segoe UI"/>
          <w:b/>
        </w:rPr>
        <w:t>Workflow Automation &amp; Compliance:</w:t>
      </w:r>
      <w:r>
        <w:rPr>
          <w:rFonts w:ascii="Segoe UI" w:hAnsi="Segoe UI"/>
        </w:rPr>
        <w:t xml:space="preserve"> Orchestrates tasks, alerts users, logs steps to a cryptographic SHA-256 ledger.</w:t>
      </w:r>
    </w:p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005A9E"/>
          <w:sz w:val="26"/>
        </w:rPr>
        <w:t>Processing Architecture Flow:</w:t>
      </w:r>
    </w:p>
    <w:p>
      <w:pPr>
        <w:spacing w:before="120" w:after="240"/>
        <w:jc w:val="center"/>
      </w:pPr>
      <w:r>
        <w:rPr>
          <w:rFonts w:ascii="Segoe UI" w:hAnsi="Segoe UI"/>
          <w:b/>
          <w:color w:val="0078D4"/>
          <w:sz w:val="19"/>
        </w:rPr>
        <w:t>Input Data ➔ Connector Layer ➔ Metadata Catalog ➔ Federated Query Engine ➔ Scientific Analytics ➔ AI Scientist Copilot ➔ Reports &amp; Dashboards</w:t>
      </w:r>
    </w:p>
    <w:p>
      <w:pPr>
        <w:keepNext/>
        <w:spacing w:before="240" w:after="120"/>
      </w:pPr>
      <w:r>
        <w:rPr>
          <w:rFonts w:ascii="Segoe UI" w:hAnsi="Segoe UI"/>
          <w:b/>
          <w:color w:val="0078D4"/>
          <w:sz w:val="36"/>
        </w:rPr>
        <w:t>Section 3: Platform Data Outputs</w:t>
      </w:r>
    </w:p>
    <w:p>
      <w:r>
        <w:t>AnalytiX delivers analytics, compliance reports, and operational events to key enterprise stakeholders.</w:t>
      </w:r>
    </w:p>
    <w:p>
      <w:pPr>
        <w:pStyle w:val="ListBullet"/>
        <w:spacing w:after="80"/>
      </w:pPr>
      <w:r>
        <w:rPr>
          <w:rFonts w:ascii="Segoe UI" w:hAnsi="Segoe UI"/>
          <w:b/>
          <w:color w:val="005A9E"/>
        </w:rPr>
        <w:t xml:space="preserve">Scientific Analytics: </w:t>
      </w:r>
      <w:r>
        <w:rPr>
          <w:rFonts w:ascii="Segoe UI" w:hAnsi="Segoe UI"/>
        </w:rPr>
        <w:t>Compound descriptors, 4PL curves (IC50), bio alignments, correlation heatmaps, scatter charts.</w:t>
      </w:r>
    </w:p>
    <w:p>
      <w:pPr>
        <w:pStyle w:val="ListBullet"/>
        <w:spacing w:after="80"/>
      </w:pPr>
      <w:r>
        <w:rPr>
          <w:rFonts w:ascii="Segoe UI" w:hAnsi="Segoe UI"/>
          <w:b/>
          <w:color w:val="005A9E"/>
        </w:rPr>
        <w:t xml:space="preserve">AI Scientist Outputs: </w:t>
      </w:r>
      <w:r>
        <w:rPr>
          <w:rFonts w:ascii="Segoe UI" w:hAnsi="Segoe UI"/>
        </w:rPr>
        <w:t>Natural language explanations, compound proposals, data summaries, automated workflows.</w:t>
      </w:r>
    </w:p>
    <w:p>
      <w:pPr>
        <w:pStyle w:val="ListBullet"/>
        <w:spacing w:after="80"/>
      </w:pPr>
      <w:r>
        <w:rPr>
          <w:rFonts w:ascii="Segoe UI" w:hAnsi="Segoe UI"/>
          <w:b/>
          <w:color w:val="005A9E"/>
        </w:rPr>
        <w:t xml:space="preserve">Enterprise Reports: </w:t>
      </w:r>
      <w:r>
        <w:rPr>
          <w:rFonts w:ascii="Segoe UI" w:hAnsi="Segoe UI"/>
        </w:rPr>
        <w:t>Signed PDF reports, structured Excel grids, slide decks (PPTX), and regulatory audit logs.</w:t>
      </w:r>
    </w:p>
    <w:p>
      <w:pPr>
        <w:pStyle w:val="ListBullet"/>
        <w:spacing w:after="80"/>
      </w:pPr>
      <w:r>
        <w:rPr>
          <w:rFonts w:ascii="Segoe UI" w:hAnsi="Segoe UI"/>
          <w:b/>
          <w:color w:val="005A9E"/>
        </w:rPr>
        <w:t xml:space="preserve">Regulatory Compliance: </w:t>
      </w:r>
      <w:r>
        <w:rPr>
          <w:rFonts w:ascii="Segoe UI" w:hAnsi="Segoe UI"/>
        </w:rPr>
        <w:t>FDA 21 CFR Part 11 records, electronic signatures validation files, and visual data lineage paths.</w:t>
      </w:r>
    </w:p>
    <w:p>
      <w:pPr>
        <w:pStyle w:val="ListBullet"/>
        <w:spacing w:after="80"/>
      </w:pPr>
      <w:r>
        <w:rPr>
          <w:rFonts w:ascii="Segoe UI" w:hAnsi="Segoe UI"/>
          <w:b/>
          <w:color w:val="005A9E"/>
        </w:rPr>
        <w:t xml:space="preserve">Operational Alerts: </w:t>
      </w:r>
      <w:r>
        <w:rPr>
          <w:rFonts w:ascii="Segoe UI" w:hAnsi="Segoe UI"/>
        </w:rPr>
        <w:t>Slack webhooks, email alerts, workflow execution triggers, and approval requests.</w:t>
      </w:r>
    </w:p>
    <w:p>
      <w:pPr>
        <w:spacing w:after="200"/>
      </w:pPr>
    </w:p>
    <w:p>
      <w:pPr>
        <w:keepNext/>
        <w:spacing w:before="240" w:after="120"/>
      </w:pPr>
      <w:r>
        <w:rPr>
          <w:rFonts w:ascii="Segoe UI" w:hAnsi="Segoe UI"/>
          <w:b/>
          <w:color w:val="0078D4"/>
          <w:sz w:val="36"/>
        </w:rPr>
        <w:t>Section 4: Enterprise Business Benefits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8" w:space="0" w:color="CBD5E1"/>
          <w:right w:val="none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8FAFC"/>
            <w:tcBorders>
              <w:top w:val="none"/>
              <w:left w:val="single" w:sz="36" w:space="0" w:color="0078D4"/>
              <w:bottom w:val="none"/>
              <w:right w:val="none"/>
            </w:tcBorders>
          </w:tcPr>
          <w:p>
            <w:pPr>
              <w:spacing w:before="120" w:after="120"/>
              <w:ind w:left="216"/>
            </w:pPr>
            <w:r>
              <w:rPr>
                <w:rFonts w:ascii="Segoe UI" w:hAnsi="Segoe UI"/>
                <w:b/>
                <w:color w:val="0078D4"/>
                <w:sz w:val="20"/>
              </w:rPr>
              <w:t>RESEARCH SCIENTISTS</w:t>
              <w:br/>
            </w:r>
            <w:r>
              <w:rPr>
                <w:rFonts w:ascii="Segoe UI" w:hAnsi="Segoe UI"/>
                <w:sz w:val="18"/>
              </w:rPr>
              <w:t>• Drastically reduces manual data mining.</w:t>
              <w:br/>
              <w:t>• Automated structure-activity correlation.</w:t>
              <w:br/>
              <w:t>• AI Scientist answers natural language questions.</w:t>
            </w:r>
          </w:p>
        </w:tc>
        <w:tc>
          <w:tcPr>
            <w:tcW w:type="dxa" w:w="4680"/>
            <w:shd w:fill="F8FAFC"/>
            <w:tcBorders>
              <w:top w:val="none"/>
              <w:left w:val="single" w:sz="36" w:space="0" w:color="0078D4"/>
              <w:bottom w:val="none"/>
              <w:right w:val="none"/>
            </w:tcBorders>
          </w:tcPr>
          <w:p>
            <w:pPr>
              <w:spacing w:before="120" w:after="120"/>
              <w:ind w:left="216"/>
            </w:pPr>
            <w:r>
              <w:rPr>
                <w:rFonts w:ascii="Segoe UI" w:hAnsi="Segoe UI"/>
                <w:b/>
                <w:color w:val="0078D4"/>
                <w:sz w:val="20"/>
              </w:rPr>
              <w:t>COMPLIANCE TEAMS</w:t>
              <w:br/>
            </w:r>
            <w:r>
              <w:rPr>
                <w:rFonts w:ascii="Segoe UI" w:hAnsi="Segoe UI"/>
                <w:sz w:val="18"/>
              </w:rPr>
              <w:t>• 100% data traceability via Data Lineage.</w:t>
              <w:br/>
              <w:t>• Cryptographically chain-linked audit trails.</w:t>
              <w:br/>
              <w:t>• Rapid generation of FDA Part 11 compliant reports.</w:t>
            </w:r>
          </w:p>
        </w:tc>
      </w:tr>
      <w:tr>
        <w:tc>
          <w:tcPr>
            <w:tcW w:type="dxa" w:w="4680"/>
            <w:shd w:fill="F8FAFC"/>
            <w:tcBorders>
              <w:top w:val="none"/>
              <w:left w:val="single" w:sz="36" w:space="0" w:color="005A9E"/>
              <w:bottom w:val="none"/>
              <w:right w:val="none"/>
            </w:tcBorders>
          </w:tcPr>
          <w:p>
            <w:pPr>
              <w:spacing w:before="120" w:after="120"/>
              <w:ind w:left="216"/>
            </w:pPr>
            <w:r>
              <w:rPr>
                <w:rFonts w:ascii="Segoe UI" w:hAnsi="Segoe UI"/>
                <w:b/>
                <w:color w:val="0078D4"/>
                <w:sz w:val="20"/>
              </w:rPr>
              <w:t>RESEARCH MANAGERS</w:t>
              <w:br/>
            </w:r>
            <w:r>
              <w:rPr>
                <w:rFonts w:ascii="Segoe UI" w:hAnsi="Segoe UI"/>
                <w:sz w:val="18"/>
              </w:rPr>
              <w:t>• Centralized key metrics and timeline dashboards.</w:t>
              <w:br/>
              <w:t>• Faster compound optimization screening runs.</w:t>
              <w:br/>
              <w:t>• Clear portfolio monitoring dashboard feeds.</w:t>
            </w:r>
          </w:p>
        </w:tc>
        <w:tc>
          <w:tcPr>
            <w:tcW w:type="dxa" w:w="4680"/>
            <w:shd w:fill="F8FAFC"/>
            <w:tcBorders>
              <w:top w:val="none"/>
              <w:left w:val="single" w:sz="36" w:space="0" w:color="005A9E"/>
              <w:bottom w:val="none"/>
              <w:right w:val="none"/>
            </w:tcBorders>
          </w:tcPr>
          <w:p>
            <w:pPr>
              <w:spacing w:before="120" w:after="120"/>
              <w:ind w:left="216"/>
            </w:pPr>
            <w:r>
              <w:rPr>
                <w:rFonts w:ascii="Segoe UI" w:hAnsi="Segoe UI"/>
                <w:b/>
                <w:color w:val="0078D4"/>
                <w:sz w:val="20"/>
              </w:rPr>
              <w:t>IT &amp; INFRASTRUCTURE</w:t>
              <w:br/>
            </w:r>
            <w:r>
              <w:rPr>
                <w:rFonts w:ascii="Segoe UI" w:hAnsi="Segoe UI"/>
                <w:sz w:val="18"/>
              </w:rPr>
              <w:t>• Secured SSO, OAuth, and RBAC matrix permissions.</w:t>
              <w:br/>
              <w:t>• Integrates with existing LIMS, ELN, and Snowflake.</w:t>
              <w:br/>
              <w:t>• Scalable and robust microservice deployment.</w:t>
            </w:r>
          </w:p>
        </w:tc>
      </w:tr>
    </w:tbl>
    <w:p>
      <w:pPr>
        <w:spacing w:after="200"/>
      </w:pPr>
    </w:p>
    <w:p>
      <w:pPr>
        <w:keepNext/>
        <w:spacing w:before="240" w:after="120"/>
      </w:pPr>
      <w:r>
        <w:rPr>
          <w:rFonts w:ascii="Segoe UI" w:hAnsi="Segoe UI"/>
          <w:b/>
          <w:color w:val="0078D4"/>
          <w:sz w:val="36"/>
        </w:rPr>
        <w:t>Section 5: Sample Client Journey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Borders>
              <w:top w:val="none"/>
              <w:left w:val="single" w:sz="36" w:space="0" w:color="107C41"/>
              <w:bottom w:val="none"/>
              <w:right w:val="none"/>
            </w:tcBorders>
          </w:tcPr>
          <w:p>
            <w:pPr>
              <w:spacing w:before="160" w:after="160"/>
              <w:ind w:left="216"/>
            </w:pPr>
            <w:r>
              <w:rPr>
                <w:rFonts w:ascii="Segoe UI" w:hAnsi="Segoe UI"/>
                <w:color w:val="1E3A8A"/>
                <w:sz w:val="19"/>
              </w:rPr>
              <w:t>Integration Scenario:</w:t>
              <w:br/>
              <w:t>A new biopharma customer registers an assay CSV, PostgreSQL DB, Benchling ELN, and FASTA files.</w:t>
              <w:br/>
              <w:br/>
              <w:t>AnalytiX Automation:</w:t>
              <w:br/>
              <w:t>1. Establishes connectors to all data sources dynamically.</w:t>
              <w:br/>
              <w:t>2. Discovers database metadata attributes automatically (EAV catalog).</w:t>
              <w:br/>
              <w:t>3. Establishes chemical-biological relationships (SMILES mapping).</w:t>
              <w:br/>
              <w:t>4. Performs IC50 calculations and sequence alignments.</w:t>
              <w:br/>
              <w:t>5. Deploys dashboards, generates PDF reports, and enables the AI Scientist Chat interface.</w:t>
            </w:r>
          </w:p>
        </w:tc>
      </w:tr>
    </w:tbl>
    <w:p>
      <w:pPr>
        <w:spacing w:after="200"/>
      </w:pPr>
    </w:p>
    <w:p>
      <w:pPr>
        <w:keepNext/>
        <w:spacing w:before="240" w:after="120"/>
      </w:pPr>
      <w:r>
        <w:rPr>
          <w:rFonts w:ascii="Segoe UI" w:hAnsi="Segoe UI"/>
          <w:b/>
          <w:color w:val="0078D4"/>
          <w:sz w:val="36"/>
        </w:rPr>
        <w:t>Section 6: Visual Value Chain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8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</w:tcPr>
          <w:p>
            <w:pPr>
              <w:spacing w:before="100" w:after="10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CUSTOMER DATA</w:t>
            </w:r>
          </w:p>
        </w:tc>
        <w:tc>
          <w:tcPr>
            <w:tcW w:type="dxa" w:w="2340"/>
            <w:shd w:fill="005A9E"/>
          </w:tcPr>
          <w:p>
            <w:pPr>
              <w:spacing w:before="100" w:after="10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PLATFORM INGEST</w:t>
            </w:r>
          </w:p>
        </w:tc>
        <w:tc>
          <w:tcPr>
            <w:tcW w:type="dxa" w:w="2340"/>
            <w:shd w:fill="0078D4"/>
          </w:tcPr>
          <w:p>
            <w:pPr>
              <w:spacing w:before="100" w:after="10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AI &amp; ANALYTICS</w:t>
            </w:r>
          </w:p>
        </w:tc>
        <w:tc>
          <w:tcPr>
            <w:tcW w:type="dxa" w:w="2340"/>
            <w:shd w:fill="107C41"/>
          </w:tcPr>
          <w:p>
            <w:pPr>
              <w:spacing w:before="100" w:after="10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OUTCOMES</w:t>
            </w:r>
          </w:p>
        </w:tc>
      </w:tr>
      <w:tr>
        <w:tc>
          <w:tcPr>
            <w:tcW w:type="dxa" w:w="2340"/>
            <w:shd w:fill="F8FAFC"/>
          </w:tcPr>
          <w:p>
            <w:pPr>
              <w:spacing w:before="120" w:after="120"/>
              <w:jc w:val="center"/>
            </w:pPr>
            <w:r>
              <w:rPr>
                <w:rFonts w:ascii="Segoe UI" w:hAnsi="Segoe UI"/>
                <w:sz w:val="17"/>
              </w:rPr>
              <w:t>ELN &amp; LIMS databases</w:t>
              <w:br/>
              <w:t>CSV, Excel, FASTA</w:t>
              <w:br/>
              <w:t>Cloud drop zones</w:t>
              <w:br/>
              <w:t>REST API payloads</w:t>
            </w:r>
          </w:p>
        </w:tc>
        <w:tc>
          <w:tcPr>
            <w:tcW w:type="dxa" w:w="2340"/>
            <w:shd w:fill="F8FAFC"/>
          </w:tcPr>
          <w:p>
            <w:pPr>
              <w:spacing w:before="120" w:after="120"/>
              <w:jc w:val="center"/>
            </w:pPr>
            <w:r>
              <w:rPr>
                <w:rFonts w:ascii="Segoe UI" w:hAnsi="Segoe UI"/>
                <w:sz w:val="17"/>
              </w:rPr>
              <w:t>Connector discovery</w:t>
              <w:br/>
              <w:t>Data validation</w:t>
              <w:br/>
              <w:t>Metadata Catalog</w:t>
              <w:br/>
              <w:t>Federated Engine</w:t>
            </w:r>
          </w:p>
        </w:tc>
        <w:tc>
          <w:tcPr>
            <w:tcW w:type="dxa" w:w="2340"/>
            <w:shd w:fill="F8FAFC"/>
          </w:tcPr>
          <w:p>
            <w:pPr>
              <w:spacing w:before="120" w:after="120"/>
              <w:jc w:val="center"/>
            </w:pPr>
            <w:r>
              <w:rPr>
                <w:rFonts w:ascii="Segoe UI" w:hAnsi="Segoe UI"/>
                <w:sz w:val="17"/>
              </w:rPr>
              <w:t>AI Scientist Copilot</w:t>
              <w:br/>
              <w:t>4PL regressions</w:t>
              <w:br/>
              <w:t>Alignments grids</w:t>
              <w:br/>
              <w:t>Compound similarity</w:t>
            </w:r>
          </w:p>
        </w:tc>
        <w:tc>
          <w:tcPr>
            <w:tcW w:type="dxa" w:w="2340"/>
            <w:shd w:fill="F8FAFC"/>
          </w:tcPr>
          <w:p>
            <w:pPr>
              <w:spacing w:before="120" w:after="120"/>
              <w:jc w:val="center"/>
            </w:pPr>
            <w:r>
              <w:rPr>
                <w:rFonts w:ascii="Segoe UI" w:hAnsi="Segoe UI"/>
                <w:sz w:val="17"/>
              </w:rPr>
              <w:t>Fast research loops</w:t>
              <w:br/>
              <w:t>Regulatory readiness</w:t>
              <w:br/>
              <w:t>Integrated silos</w:t>
              <w:br/>
              <w:t>Validated inputs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