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2E75B6"/>
          <w:sz w:val="24"/>
          <w:szCs w:val="24"/>
        </w:rPr>
        <w:t xml:space="preserve">CREDENCE RESOURCE MANAGEMENT</w:t>
      </w:r>
    </w:p>
    <w:p>
      <w:pPr>
        <w:spacing w:after="400" w:before="0"/>
        <w:jc w:val="center"/>
      </w:pPr>
      <w:r>
        <w:rPr>
          <w:rFonts w:ascii="Arial" w:cs="Arial" w:eastAsia="Arial" w:hAnsi="Arial"/>
          <w:color w:val="595959"/>
          <w:sz w:val="22"/>
          <w:szCs w:val="22"/>
        </w:rPr>
        <w:t xml:space="preserve">Collections Intelligence Platform</w:t>
      </w:r>
    </w:p>
    <w:p>
      <w:pPr>
        <w:pBdr>
          <w:bottom w:val="single" w:color="2E75B6" w:sz="8" w:space="8"/>
        </w:pBdr>
        <w:spacing w:after="200" w:before="0"/>
        <w:jc w:val="center"/>
      </w:pPr>
      <w:r>
        <w:rPr>
          <w:rFonts w:ascii="Arial" w:cs="Arial" w:eastAsia="Arial" w:hAnsi="Arial"/>
          <w:b/>
          <w:bCs/>
          <w:color w:val="1F4E79"/>
          <w:sz w:val="56"/>
          <w:szCs w:val="56"/>
        </w:rPr>
        <w:t xml:space="preserve">Automated RCA / CAPA Intelligence Tool</w:t>
      </w:r>
    </w:p>
    <w:p>
      <w:pPr>
        <w:spacing w:after="0" w:before="200"/>
      </w:pPr>
      <w:r>
        <w:t xml:space="preserve"/>
      </w:r>
    </w:p>
    <w:p>
      <w:pPr>
        <w:spacing w:after="120" w:before="0"/>
        <w:jc w:val="center"/>
      </w:pPr>
      <w:r>
        <w:rPr>
          <w:rFonts w:ascii="Arial" w:cs="Arial" w:eastAsia="Arial" w:hAnsi="Arial"/>
          <w:b/>
          <w:bCs/>
          <w:color w:val="2E75B6"/>
          <w:sz w:val="32"/>
          <w:szCs w:val="32"/>
        </w:rPr>
        <w:t xml:space="preserve">Product Specification &amp; Cost-Benefit Analysis</w:t>
      </w:r>
    </w:p>
    <w:p>
      <w:pPr>
        <w:spacing w:after="80" w:before="0"/>
        <w:jc w:val="center"/>
      </w:pPr>
      <w:r>
        <w:rPr>
          <w:rFonts w:ascii="Arial" w:cs="Arial" w:eastAsia="Arial" w:hAnsi="Arial"/>
          <w:color w:val="595959"/>
          <w:sz w:val="22"/>
          <w:szCs w:val="22"/>
        </w:rPr>
        <w:t xml:space="preserve">Version 1.0  |  June 2026  |  CONFIDENTIAL</w:t>
      </w:r>
    </w:p>
    <w:p>
      <w:pPr>
        <w:spacing w:after="0" w:before="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Prepared By</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95959"/>
                <w:sz w:val="20"/>
                <w:szCs w:val="20"/>
              </w:rPr>
              <w:t xml:space="preserve">AI / NLP Engineering Team</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Classification</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C00000"/>
                <w:sz w:val="20"/>
                <w:szCs w:val="20"/>
              </w:rPr>
              <w:t xml:space="preserve">Internal — HIPAA Controlled</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Target Environment</w:t>
            </w:r>
          </w:p>
        </w:tc>
        <w:tc>
          <w:tcPr>
            <w:tcW w:type="dxa" w:w="36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95959"/>
                <w:sz w:val="20"/>
                <w:szCs w:val="20"/>
              </w:rPr>
              <w:t xml:space="preserve">HIPAA Windows Server (Existing)</w:t>
            </w:r>
          </w:p>
        </w:tc>
      </w:tr>
    </w:tbl>
    <w:p>
      <w:r>
        <w:br w:type="page"/>
      </w:r>
    </w:p>
    <w:p>
      <w:pPr>
        <w:pStyle w:val="Heading1"/>
        <w:spacing w:after="200" w:before="400"/>
      </w:pPr>
      <w:r>
        <w:rPr>
          <w:rFonts w:ascii="Arial" w:cs="Arial" w:eastAsia="Arial" w:hAnsi="Arial"/>
          <w:b/>
          <w:bCs/>
          <w:color w:val="1F4E79"/>
          <w:sz w:val="36"/>
          <w:szCs w:val="36"/>
        </w:rPr>
        <w:t xml:space="preserve">1. Executive Summary</w:t>
      </w:r>
    </w:p>
    <w:p>
      <w:pPr>
        <w:spacing w:after="120" w:before="80"/>
      </w:pPr>
      <w:r>
        <w:rPr>
          <w:rFonts w:ascii="Arial" w:cs="Arial" w:eastAsia="Arial" w:hAnsi="Arial"/>
          <w:color w:val="595959"/>
          <w:sz w:val="22"/>
          <w:szCs w:val="22"/>
        </w:rPr>
        <w:t xml:space="preserve">This document specifies the design, architecture, implementation plan, and cost-benefit analysis for an AI-powered Root Cause Analysis (RCA) and Corrective &amp; Preventive Action (CAPA) Intelligence Tool built for Credence Resource Management's Artiva collections platform.</w:t>
      </w:r>
    </w:p>
    <w:p>
      <w:pPr>
        <w:spacing w:after="0" w:before="80"/>
      </w:pPr>
      <w:r>
        <w:t xml:space="preserve"/>
      </w:r>
    </w:p>
    <w:p>
      <w:pPr>
        <w:spacing w:after="120" w:before="80"/>
      </w:pPr>
      <w:r>
        <w:rPr>
          <w:rFonts w:ascii="Arial" w:cs="Arial" w:eastAsia="Arial" w:hAnsi="Arial"/>
          <w:color w:val="595959"/>
          <w:sz w:val="22"/>
          <w:szCs w:val="22"/>
        </w:rPr>
        <w:t xml:space="preserve">Today, when an account fails a compliance or operational audit — for example, an account that was not picked for credit reporting on a given date — a developer must manually investigate the failure. This involves writing ad hoc SQL queries against the Artiva database, inspecting Artiva scripts and configuration rules, and cross-referencing business logic with account-level data. Each investigation takes between 30 and 60 minutes and depends heavily on individual experience and gut feel.</w:t>
      </w:r>
    </w:p>
    <w:p>
      <w:pPr>
        <w:spacing w:after="0" w:before="80"/>
      </w:pPr>
      <w:r>
        <w:t xml:space="preserve"/>
      </w:r>
    </w:p>
    <w:p>
      <w:pPr>
        <w:spacing w:after="120" w:before="80"/>
      </w:pPr>
      <w:r>
        <w:rPr>
          <w:rFonts w:ascii="Arial" w:cs="Arial" w:eastAsia="Arial" w:hAnsi="Arial"/>
          <w:color w:val="595959"/>
          <w:sz w:val="22"/>
          <w:szCs w:val="22"/>
        </w:rPr>
        <w:t xml:space="preserve">The proposed tool replaces this manual process with an intelligent agentic system. An analyst uploads the Excel file containing audit failures. The system reads each failure, reasons about possible causes using Claude AI, dynamically queries the Artiva database, retrieves and interprets relevant Artiva scripts, and produces a structured RCA report with CAPA recommendations — all in under 5 minutes per case.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FE1" w:val="clear"/>
            <w:tcMar>
              <w:top w:type="dxa" w:w="160"/>
              <w:left w:type="dxa" w:w="240"/>
              <w:bottom w:type="dxa" w:w="160"/>
              <w:right w:type="dxa" w:w="240"/>
            </w:tcMar>
          </w:tcPr>
          <w:p>
            <w:r>
              <w:rPr>
                <w:rFonts w:ascii="Arial" w:cs="Arial" w:eastAsia="Arial" w:hAnsi="Arial"/>
                <w:b/>
                <w:bCs/>
                <w:color w:val="1E7B34"/>
                <w:sz w:val="22"/>
                <w:szCs w:val="22"/>
              </w:rPr>
              <w:t xml:space="preserve">Bottom Line</w:t>
            </w:r>
          </w:p>
          <w:p>
            <w:pPr>
              <w:spacing w:before="60"/>
            </w:pPr>
            <w:r>
              <w:rPr>
                <w:rFonts w:ascii="Arial" w:cs="Arial" w:eastAsia="Arial" w:hAnsi="Arial"/>
                <w:color w:val="595959"/>
                <w:sz w:val="21"/>
                <w:szCs w:val="21"/>
              </w:rPr>
              <w:t xml:space="preserve">At approximately $8–10/month in API costs, the tool eliminates an estimated 75–150 developer hours per month of manual investigation work. ROI is realized within the first week of deployment.</w:t>
            </w:r>
          </w:p>
        </w:tc>
      </w:tr>
    </w:tbl>
    <w:p>
      <w:pPr>
        <w:spacing w:after="0" w:before="200"/>
      </w:pPr>
      <w:r>
        <w:t xml:space="preserve"/>
      </w:r>
    </w:p>
    <w:p>
      <w:pPr>
        <w:pStyle w:val="Heading1"/>
        <w:spacing w:after="200" w:before="400"/>
      </w:pPr>
      <w:r>
        <w:rPr>
          <w:rFonts w:ascii="Arial" w:cs="Arial" w:eastAsia="Arial" w:hAnsi="Arial"/>
          <w:b/>
          <w:bCs/>
          <w:color w:val="1F4E79"/>
          <w:sz w:val="36"/>
          <w:szCs w:val="36"/>
        </w:rPr>
        <w:t xml:space="preserve">2. Problem Statement</w:t>
      </w:r>
    </w:p>
    <w:p>
      <w:pPr>
        <w:pStyle w:val="Heading2"/>
        <w:pBdr>
          <w:bottom w:val="single" w:color="2E75B6" w:sz="4" w:space="4"/>
        </w:pBdr>
        <w:spacing w:after="160" w:before="320"/>
      </w:pPr>
      <w:r>
        <w:rPr>
          <w:rFonts w:ascii="Arial" w:cs="Arial" w:eastAsia="Arial" w:hAnsi="Arial"/>
          <w:b/>
          <w:bCs/>
          <w:color w:val="2E75B6"/>
          <w:sz w:val="28"/>
          <w:szCs w:val="28"/>
        </w:rPr>
        <w:t xml:space="preserve">2.1 Current State</w:t>
      </w:r>
    </w:p>
    <w:p>
      <w:pPr>
        <w:spacing w:after="120" w:before="80"/>
      </w:pPr>
      <w:r>
        <w:rPr>
          <w:rFonts w:ascii="Arial" w:cs="Arial" w:eastAsia="Arial" w:hAnsi="Arial"/>
          <w:color w:val="595959"/>
          <w:sz w:val="22"/>
          <w:szCs w:val="22"/>
        </w:rPr>
        <w:t xml:space="preserve">Credence's compliance and operations teams conduct regular audits on Artiva accounts. When an account fails an audit check, a developer must investigate and document the root cause before a corrective action can be taken. The current process is: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595959"/>
          <w:sz w:val="22"/>
          <w:szCs w:val="22"/>
        </w:rPr>
        <w:t xml:space="preserve">Entirely manual — SQL queries written from memory or experience</w:t>
      </w:r>
    </w:p>
    <w:p>
      <w:pPr>
        <w:pStyle w:val="ListParagraph"/>
        <w:numPr>
          <w:ilvl w:val="0"/>
          <w:numId w:val="2"/>
        </w:numPr>
        <w:spacing w:after="60" w:before="60"/>
      </w:pPr>
      <w:r>
        <w:rPr>
          <w:rFonts w:ascii="Arial" w:cs="Arial" w:eastAsia="Arial" w:hAnsi="Arial"/>
          <w:b w:val="false"/>
          <w:bCs w:val="false"/>
          <w:color w:val="595959"/>
          <w:sz w:val="22"/>
          <w:szCs w:val="22"/>
        </w:rPr>
        <w:t xml:space="preserve">Unstructured — no standard investigation checklist or decision tree</w:t>
      </w:r>
    </w:p>
    <w:p>
      <w:pPr>
        <w:pStyle w:val="ListParagraph"/>
        <w:numPr>
          <w:ilvl w:val="0"/>
          <w:numId w:val="2"/>
        </w:numPr>
        <w:spacing w:after="60" w:before="60"/>
      </w:pPr>
      <w:r>
        <w:rPr>
          <w:rFonts w:ascii="Arial" w:cs="Arial" w:eastAsia="Arial" w:hAnsi="Arial"/>
          <w:b w:val="false"/>
          <w:bCs w:val="false"/>
          <w:color w:val="595959"/>
          <w:sz w:val="22"/>
          <w:szCs w:val="22"/>
        </w:rPr>
        <w:t xml:space="preserve">Undocumented — no audit trail of what was queried, what was found, or why a conclusion was reached</w:t>
      </w:r>
    </w:p>
    <w:p>
      <w:pPr>
        <w:pStyle w:val="ListParagraph"/>
        <w:numPr>
          <w:ilvl w:val="0"/>
          <w:numId w:val="2"/>
        </w:numPr>
        <w:spacing w:after="60" w:before="60"/>
      </w:pPr>
      <w:r>
        <w:rPr>
          <w:rFonts w:ascii="Arial" w:cs="Arial" w:eastAsia="Arial" w:hAnsi="Arial"/>
          <w:b w:val="false"/>
          <w:bCs w:val="false"/>
          <w:color w:val="595959"/>
          <w:sz w:val="22"/>
          <w:szCs w:val="22"/>
        </w:rPr>
        <w:t xml:space="preserve">Slow — 30 to 60 minutes per RCA on average</w:t>
      </w:r>
    </w:p>
    <w:p>
      <w:pPr>
        <w:pStyle w:val="ListParagraph"/>
        <w:numPr>
          <w:ilvl w:val="0"/>
          <w:numId w:val="2"/>
        </w:numPr>
        <w:spacing w:after="60" w:before="60"/>
      </w:pPr>
      <w:r>
        <w:rPr>
          <w:rFonts w:ascii="Arial" w:cs="Arial" w:eastAsia="Arial" w:hAnsi="Arial"/>
          <w:b w:val="false"/>
          <w:bCs w:val="false"/>
          <w:color w:val="595959"/>
          <w:sz w:val="22"/>
          <w:szCs w:val="22"/>
        </w:rPr>
        <w:t xml:space="preserve">Person-dependent — quality varies significantly between developers</w:t>
      </w:r>
    </w:p>
    <w:p>
      <w:pPr>
        <w:pStyle w:val="ListParagraph"/>
        <w:numPr>
          <w:ilvl w:val="0"/>
          <w:numId w:val="2"/>
        </w:numPr>
        <w:spacing w:after="60" w:before="60"/>
      </w:pPr>
      <w:r>
        <w:rPr>
          <w:rFonts w:ascii="Arial" w:cs="Arial" w:eastAsia="Arial" w:hAnsi="Arial"/>
          <w:b w:val="false"/>
          <w:bCs w:val="false"/>
          <w:color w:val="595959"/>
          <w:sz w:val="22"/>
          <w:szCs w:val="22"/>
        </w:rPr>
        <w:t xml:space="preserve">Blind to script logic — Artiva scripts have no execution history; developers must manually read config rules to determine if a condition was unmet</w:t>
      </w:r>
    </w:p>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2.2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Current State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RCAs per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100–150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75–150 dev hours/month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Avg time per RCA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30–60 minutes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High cognitive 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Audit trail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HIPAA compliance risk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Script execution history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Not logged by Artiva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Blind spots in investigation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Consistency of RCA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Varies by developer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C00000"/>
                <w:sz w:val="20"/>
                <w:szCs w:val="20"/>
              </w:rPr>
              <w:t xml:space="preserve">Unreliable CAPA actions</w:t>
            </w:r>
          </w:p>
        </w:tc>
      </w:tr>
    </w:tbl>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2.3 Why This Is Hard</w:t>
      </w:r>
    </w:p>
    <w:p>
      <w:pPr>
        <w:spacing w:after="120" w:before="80"/>
      </w:pPr>
      <w:r>
        <w:rPr>
          <w:rFonts w:ascii="Arial" w:cs="Arial" w:eastAsia="Arial" w:hAnsi="Arial"/>
          <w:color w:val="595959"/>
          <w:sz w:val="22"/>
          <w:szCs w:val="22"/>
        </w:rPr>
        <w:t xml:space="preserve">Artiva is a large-scale enterprise collections platform with millions of accounts, hundreds of configuration scripts in a proprietary format, and no native execution logging. The challenge is not just querying a database — it is reasoning across three distinct layers simultaneously:</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595959"/>
          <w:sz w:val="22"/>
          <w:szCs w:val="22"/>
        </w:rPr>
        <w:t xml:space="preserve">Account-level data — what was the state of the account at the time of the audit failure?</w:t>
      </w:r>
    </w:p>
    <w:p>
      <w:pPr>
        <w:pStyle w:val="ListParagraph"/>
        <w:numPr>
          <w:ilvl w:val="0"/>
          <w:numId w:val="2"/>
        </w:numPr>
        <w:spacing w:after="60" w:before="60"/>
      </w:pPr>
      <w:r>
        <w:rPr>
          <w:rFonts w:ascii="Arial" w:cs="Arial" w:eastAsia="Arial" w:hAnsi="Arial"/>
          <w:b w:val="false"/>
          <w:bCs w:val="false"/>
          <w:color w:val="595959"/>
          <w:sz w:val="22"/>
          <w:szCs w:val="22"/>
        </w:rPr>
        <w:t xml:space="preserve">Business rules — which Artiva scripts apply, and which conditions within them were not satisfied?</w:t>
      </w:r>
    </w:p>
    <w:p>
      <w:pPr>
        <w:pStyle w:val="ListParagraph"/>
        <w:numPr>
          <w:ilvl w:val="0"/>
          <w:numId w:val="2"/>
        </w:numPr>
        <w:spacing w:after="60" w:before="60"/>
      </w:pPr>
      <w:r>
        <w:rPr>
          <w:rFonts w:ascii="Arial" w:cs="Arial" w:eastAsia="Arial" w:hAnsi="Arial"/>
          <w:b w:val="false"/>
          <w:bCs w:val="false"/>
          <w:color w:val="595959"/>
          <w:sz w:val="22"/>
          <w:szCs w:val="22"/>
        </w:rPr>
        <w:t xml:space="preserve">Operational context — was there a job scheduling failure, data feed issue, or system-level problem?</w:t>
      </w:r>
    </w:p>
    <w:p>
      <w:pPr>
        <w:spacing w:after="0" w:before="80"/>
      </w:pPr>
      <w:r>
        <w:t xml:space="preserve"/>
      </w:r>
    </w:p>
    <w:p>
      <w:pPr>
        <w:spacing w:after="120" w:before="80"/>
      </w:pPr>
      <w:r>
        <w:rPr>
          <w:rFonts w:ascii="Arial" w:cs="Arial" w:eastAsia="Arial" w:hAnsi="Arial"/>
          <w:color w:val="595959"/>
          <w:sz w:val="22"/>
          <w:szCs w:val="22"/>
        </w:rPr>
        <w:t xml:space="preserve">No single SQL query answers this. It requires multi-hop reasoning — iterative investigation where each finding informs the next question. This is precisely the kind of task that AI agents are designed for.</w:t>
      </w:r>
    </w:p>
    <w:p>
      <w:pPr>
        <w:spacing w:after="0" w:before="200"/>
      </w:pPr>
      <w:r>
        <w:t xml:space="preserve"/>
      </w:r>
    </w:p>
    <w:p>
      <w:pPr>
        <w:pStyle w:val="Heading1"/>
        <w:spacing w:after="200" w:before="400"/>
      </w:pPr>
      <w:r>
        <w:rPr>
          <w:rFonts w:ascii="Arial" w:cs="Arial" w:eastAsia="Arial" w:hAnsi="Arial"/>
          <w:b/>
          <w:bCs/>
          <w:color w:val="1F4E79"/>
          <w:sz w:val="36"/>
          <w:szCs w:val="36"/>
        </w:rPr>
        <w:t xml:space="preserve">3. Proposed Solution</w:t>
      </w:r>
    </w:p>
    <w:p>
      <w:pPr>
        <w:pStyle w:val="Heading2"/>
        <w:pBdr>
          <w:bottom w:val="single" w:color="2E75B6" w:sz="4" w:space="4"/>
        </w:pBdr>
        <w:spacing w:after="160" w:before="320"/>
      </w:pPr>
      <w:r>
        <w:rPr>
          <w:rFonts w:ascii="Arial" w:cs="Arial" w:eastAsia="Arial" w:hAnsi="Arial"/>
          <w:b/>
          <w:bCs/>
          <w:color w:val="2E75B6"/>
          <w:sz w:val="28"/>
          <w:szCs w:val="28"/>
        </w:rPr>
        <w:t xml:space="preserve">3.1 Overview</w:t>
      </w:r>
    </w:p>
    <w:p>
      <w:pPr>
        <w:spacing w:after="120" w:before="80"/>
      </w:pPr>
      <w:r>
        <w:rPr>
          <w:rFonts w:ascii="Arial" w:cs="Arial" w:eastAsia="Arial" w:hAnsi="Arial"/>
          <w:color w:val="595959"/>
          <w:sz w:val="22"/>
          <w:szCs w:val="22"/>
        </w:rPr>
        <w:t xml:space="preserve">The solution is an LLMOps-grade agentic system built around Claude AI's tool-use capability. The agent is given two tools: the ability to run read-only SQL queries against the Artiva database, and the ability to retrieve relevant Artiva script documentation. It uses these tools iteratively, like an experienced developer investigating a case, until it has enough evidence to write the RCA.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r>
              <w:rPr>
                <w:rFonts w:ascii="Arial" w:cs="Arial" w:eastAsia="Arial" w:hAnsi="Arial"/>
                <w:b/>
                <w:bCs/>
                <w:color w:val="1F4E79"/>
                <w:sz w:val="22"/>
                <w:szCs w:val="22"/>
              </w:rPr>
              <w:t xml:space="preserve">Core Concept</w:t>
            </w:r>
          </w:p>
          <w:p>
            <w:pPr>
              <w:spacing w:before="60"/>
            </w:pPr>
            <w:r>
              <w:rPr>
                <w:rFonts w:ascii="Arial" w:cs="Arial" w:eastAsia="Arial" w:hAnsi="Arial"/>
                <w:color w:val="595959"/>
                <w:sz w:val="21"/>
                <w:szCs w:val="21"/>
              </w:rPr>
              <w:t xml:space="preserve">Think of it as a senior developer who knows Artiva inside out — sitting next to you, reading the failure description, querying the database, checking the scripts, and handing you a written RCA with a recommended corrective action in under 5 minutes.</w:t>
            </w:r>
          </w:p>
        </w:tc>
      </w:tr>
    </w:tbl>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3.2 System Architecture</w:t>
      </w:r>
    </w:p>
    <w:p>
      <w:pPr>
        <w:spacing w:after="120" w:before="80"/>
      </w:pPr>
      <w:r>
        <w:rPr>
          <w:rFonts w:ascii="Arial" w:cs="Arial" w:eastAsia="Arial" w:hAnsi="Arial"/>
          <w:color w:val="595959"/>
          <w:sz w:val="22"/>
          <w:szCs w:val="22"/>
        </w:rPr>
        <w:t xml:space="preserve">The system comprises five layers: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Layer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Component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 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React Frontend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Upload Excel, view RCA results, trace log, export reports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2. Orchestration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FastAPI Backend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Parses Excel, manages agent sessions, logs traces, handles exports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3. Intelligence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Claude API (Tool-Use Agent)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Multi-hop reasoning loop using run_sql and read_rule tools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4. Data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Artiva DB (pyodbc)</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Read-only SQL queries against live Artiva database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5. Knowledge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Script RAG Index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Vector-indexed Artiva scripts + documentation for semantic retrieval</w:t>
            </w:r>
          </w:p>
        </w:tc>
      </w:tr>
    </w:tbl>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3.3 Agent Reasoning Loop</w:t>
      </w:r>
    </w:p>
    <w:p>
      <w:pPr>
        <w:spacing w:after="120" w:before="80"/>
      </w:pPr>
      <w:r>
        <w:rPr>
          <w:rFonts w:ascii="Arial" w:cs="Arial" w:eastAsia="Arial" w:hAnsi="Arial"/>
          <w:color w:val="595959"/>
          <w:sz w:val="22"/>
          <w:szCs w:val="22"/>
        </w:rPr>
        <w:t xml:space="preserve">The agent loop is the core of the system. For each audit failure, it executes the following steps:</w:t>
      </w:r>
    </w:p>
    <w:p>
      <w:pPr>
        <w:spacing w:after="0" w:before="80"/>
      </w:pPr>
      <w:r>
        <w:t xml:space="preserve"/>
      </w:r>
    </w:p>
    <w:p>
      <w:pPr>
        <w:pStyle w:val="ListParagraph"/>
        <w:numPr>
          <w:ilvl w:val="0"/>
          <w:numId w:val="3"/>
        </w:numPr>
        <w:spacing w:after="60" w:before="60"/>
      </w:pPr>
      <w:r>
        <w:rPr>
          <w:rFonts w:ascii="Arial" w:cs="Arial" w:eastAsia="Arial" w:hAnsi="Arial"/>
          <w:color w:val="595959"/>
          <w:sz w:val="22"/>
          <w:szCs w:val="22"/>
        </w:rPr>
        <w:t xml:space="preserve">Read failure — Agent receives the audit failure description, account ID, failure type, and date</w:t>
      </w:r>
    </w:p>
    <w:p>
      <w:pPr>
        <w:pStyle w:val="ListParagraph"/>
        <w:numPr>
          <w:ilvl w:val="0"/>
          <w:numId w:val="3"/>
        </w:numPr>
        <w:spacing w:after="60" w:before="60"/>
      </w:pPr>
      <w:r>
        <w:rPr>
          <w:rFonts w:ascii="Arial" w:cs="Arial" w:eastAsia="Arial" w:hAnsi="Arial"/>
          <w:color w:val="595959"/>
          <w:sz w:val="22"/>
          <w:szCs w:val="22"/>
        </w:rPr>
        <w:t xml:space="preserve">Hypothesize — Agent reasons about the most likely causes given the failure type</w:t>
      </w:r>
    </w:p>
    <w:p>
      <w:pPr>
        <w:pStyle w:val="ListParagraph"/>
        <w:numPr>
          <w:ilvl w:val="0"/>
          <w:numId w:val="3"/>
        </w:numPr>
        <w:spacing w:after="60" w:before="60"/>
      </w:pPr>
      <w:r>
        <w:rPr>
          <w:rFonts w:ascii="Arial" w:cs="Arial" w:eastAsia="Arial" w:hAnsi="Arial"/>
          <w:color w:val="595959"/>
          <w:sz w:val="22"/>
          <w:szCs w:val="22"/>
        </w:rPr>
        <w:t xml:space="preserve">Query DB — Agent calls run_sql() to check account status, flags, thresholds, and job history</w:t>
      </w:r>
    </w:p>
    <w:p>
      <w:pPr>
        <w:pStyle w:val="ListParagraph"/>
        <w:numPr>
          <w:ilvl w:val="0"/>
          <w:numId w:val="3"/>
        </w:numPr>
        <w:spacing w:after="60" w:before="60"/>
      </w:pPr>
      <w:r>
        <w:rPr>
          <w:rFonts w:ascii="Arial" w:cs="Arial" w:eastAsia="Arial" w:hAnsi="Arial"/>
          <w:color w:val="595959"/>
          <w:sz w:val="22"/>
          <w:szCs w:val="22"/>
        </w:rPr>
        <w:t xml:space="preserve">Retrieve scripts — Agent calls read_rule() to fetch relevant Artiva script chunks via semantic search</w:t>
      </w:r>
    </w:p>
    <w:p>
      <w:pPr>
        <w:pStyle w:val="ListParagraph"/>
        <w:numPr>
          <w:ilvl w:val="0"/>
          <w:numId w:val="3"/>
        </w:numPr>
        <w:spacing w:after="60" w:before="60"/>
      </w:pPr>
      <w:r>
        <w:rPr>
          <w:rFonts w:ascii="Arial" w:cs="Arial" w:eastAsia="Arial" w:hAnsi="Arial"/>
          <w:color w:val="595959"/>
          <w:sz w:val="22"/>
          <w:szCs w:val="22"/>
        </w:rPr>
        <w:t xml:space="preserve">Cross-reference — Agent compares DB findings against script conditions to identify unmet criteria</w:t>
      </w:r>
    </w:p>
    <w:p>
      <w:pPr>
        <w:pStyle w:val="ListParagraph"/>
        <w:numPr>
          <w:ilvl w:val="0"/>
          <w:numId w:val="3"/>
        </w:numPr>
        <w:spacing w:after="60" w:before="60"/>
      </w:pPr>
      <w:r>
        <w:rPr>
          <w:rFonts w:ascii="Arial" w:cs="Arial" w:eastAsia="Arial" w:hAnsi="Arial"/>
          <w:color w:val="595959"/>
          <w:sz w:val="22"/>
          <w:szCs w:val="22"/>
        </w:rPr>
        <w:t xml:space="preserve">Iterate — If evidence is insufficient, agent runs additional queries (up to 8 rounds)</w:t>
      </w:r>
    </w:p>
    <w:p>
      <w:pPr>
        <w:pStyle w:val="ListParagraph"/>
        <w:numPr>
          <w:ilvl w:val="0"/>
          <w:numId w:val="3"/>
        </w:numPr>
        <w:spacing w:after="60" w:before="60"/>
      </w:pPr>
      <w:r>
        <w:rPr>
          <w:rFonts w:ascii="Arial" w:cs="Arial" w:eastAsia="Arial" w:hAnsi="Arial"/>
          <w:color w:val="595959"/>
          <w:sz w:val="22"/>
          <w:szCs w:val="22"/>
        </w:rPr>
        <w:t xml:space="preserve">Conclude — Agent writes structured RCA with evidence citations and CAPA recommendation</w:t>
      </w:r>
    </w:p>
    <w:p>
      <w:pPr>
        <w:pStyle w:val="ListParagraph"/>
        <w:numPr>
          <w:ilvl w:val="0"/>
          <w:numId w:val="3"/>
        </w:numPr>
        <w:spacing w:after="60" w:before="60"/>
      </w:pPr>
      <w:r>
        <w:rPr>
          <w:rFonts w:ascii="Arial" w:cs="Arial" w:eastAsia="Arial" w:hAnsi="Arial"/>
          <w:color w:val="595959"/>
          <w:sz w:val="22"/>
          <w:szCs w:val="22"/>
        </w:rPr>
        <w:t xml:space="preserve">Log — Every query, result, and reasoning step is written to the SQLite audit log (HIPAA compliance)</w:t>
      </w:r>
    </w:p>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3.4 RAG Layer — Artiva Script Intelligence</w:t>
      </w:r>
    </w:p>
    <w:p>
      <w:pPr>
        <w:spacing w:after="120" w:before="80"/>
      </w:pPr>
      <w:r>
        <w:rPr>
          <w:rFonts w:ascii="Arial" w:cs="Arial" w:eastAsia="Arial" w:hAnsi="Arial"/>
          <w:color w:val="595959"/>
          <w:sz w:val="22"/>
          <w:szCs w:val="22"/>
        </w:rPr>
        <w:t xml:space="preserve">Because Artiva scripts are proprietary, numerous (hundreds), and not natively understood by Claude, a Retrieval-Augmented Generation (RAG) layer is required. The system:</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595959"/>
          <w:sz w:val="22"/>
          <w:szCs w:val="22"/>
        </w:rPr>
        <w:t xml:space="preserve">Parses all Artiva script files using a custom chunker that splits by logical unit (condition block, rule, constraint) rather than arbitrary token count</w:t>
      </w:r>
    </w:p>
    <w:p>
      <w:pPr>
        <w:pStyle w:val="ListParagraph"/>
        <w:numPr>
          <w:ilvl w:val="0"/>
          <w:numId w:val="2"/>
        </w:numPr>
        <w:spacing w:after="60" w:before="60"/>
      </w:pPr>
      <w:r>
        <w:rPr>
          <w:rFonts w:ascii="Arial" w:cs="Arial" w:eastAsia="Arial" w:hAnsi="Arial"/>
          <w:b w:val="false"/>
          <w:bCs w:val="false"/>
          <w:color w:val="595959"/>
          <w:sz w:val="22"/>
          <w:szCs w:val="22"/>
        </w:rPr>
        <w:t xml:space="preserve">Embeds each chunk as a vector and stores it in a local index (no external vector DB required at this scale — ChromaDB or FAISS locally)</w:t>
      </w:r>
    </w:p>
    <w:p>
      <w:pPr>
        <w:pStyle w:val="ListParagraph"/>
        <w:numPr>
          <w:ilvl w:val="0"/>
          <w:numId w:val="2"/>
        </w:numPr>
        <w:spacing w:after="60" w:before="60"/>
      </w:pPr>
      <w:r>
        <w:rPr>
          <w:rFonts w:ascii="Arial" w:cs="Arial" w:eastAsia="Arial" w:hAnsi="Arial"/>
          <w:b w:val="false"/>
          <w:bCs w:val="false"/>
          <w:color w:val="595959"/>
          <w:sz w:val="22"/>
          <w:szCs w:val="22"/>
        </w:rPr>
        <w:t xml:space="preserve">Loads the Artiva documentation as Claude's base knowledge so it understands the script language</w:t>
      </w:r>
    </w:p>
    <w:p>
      <w:pPr>
        <w:pStyle w:val="ListParagraph"/>
        <w:numPr>
          <w:ilvl w:val="0"/>
          <w:numId w:val="2"/>
        </w:numPr>
        <w:spacing w:after="60" w:before="60"/>
      </w:pPr>
      <w:r>
        <w:rPr>
          <w:rFonts w:ascii="Arial" w:cs="Arial" w:eastAsia="Arial" w:hAnsi="Arial"/>
          <w:b w:val="false"/>
          <w:bCs w:val="false"/>
          <w:color w:val="595959"/>
          <w:sz w:val="22"/>
          <w:szCs w:val="22"/>
        </w:rPr>
        <w:t xml:space="preserve">On each RCA, retrieves only the most semantically relevant script chunks for the failure type — not all scripts</w:t>
      </w:r>
    </w:p>
    <w:p>
      <w:pPr>
        <w:pStyle w:val="ListParagraph"/>
        <w:numPr>
          <w:ilvl w:val="0"/>
          <w:numId w:val="2"/>
        </w:numPr>
        <w:spacing w:after="60" w:before="60"/>
      </w:pPr>
      <w:r>
        <w:rPr>
          <w:rFonts w:ascii="Arial" w:cs="Arial" w:eastAsia="Arial" w:hAnsi="Arial"/>
          <w:b w:val="false"/>
          <w:bCs w:val="false"/>
          <w:color w:val="595959"/>
          <w:sz w:val="22"/>
          <w:szCs w:val="22"/>
        </w:rPr>
        <w:t xml:space="preserve">Limits context injection to the top 3–5 chunks to stay within Claude's context window efficiently</w:t>
      </w:r>
    </w:p>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3.5 Safety &amp; Compliance</w:t>
      </w:r>
    </w:p>
    <w:p>
      <w:pPr>
        <w:spacing w:after="120" w:before="80"/>
      </w:pPr>
      <w:r>
        <w:rPr>
          <w:rFonts w:ascii="Arial" w:cs="Arial" w:eastAsia="Arial" w:hAnsi="Arial"/>
          <w:color w:val="595959"/>
          <w:sz w:val="22"/>
          <w:szCs w:val="22"/>
        </w:rPr>
        <w:t xml:space="preserve">Given the HIPAA environment, the following guardrails are non-negotiable:</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595959"/>
          <w:sz w:val="22"/>
          <w:szCs w:val="22"/>
        </w:rPr>
        <w:t xml:space="preserve">Read-only DB access — the tool connects via a dedicated read-only database user; no INSERT, UPDATE, or DELETE is permitted</w:t>
      </w:r>
    </w:p>
    <w:p>
      <w:pPr>
        <w:pStyle w:val="ListParagraph"/>
        <w:numPr>
          <w:ilvl w:val="0"/>
          <w:numId w:val="2"/>
        </w:numPr>
        <w:spacing w:after="60" w:before="60"/>
      </w:pPr>
      <w:r>
        <w:rPr>
          <w:rFonts w:ascii="Arial" w:cs="Arial" w:eastAsia="Arial" w:hAnsi="Arial"/>
          <w:b w:val="false"/>
          <w:bCs w:val="false"/>
          <w:color w:val="595959"/>
          <w:sz w:val="22"/>
          <w:szCs w:val="22"/>
        </w:rPr>
        <w:t xml:space="preserve">Full reasoning trace logged — every agent step, SQL query, retrieved script chunk, and conclusion is written to SQLite with timestamp and case ID</w:t>
      </w:r>
    </w:p>
    <w:p>
      <w:pPr>
        <w:pStyle w:val="ListParagraph"/>
        <w:numPr>
          <w:ilvl w:val="0"/>
          <w:numId w:val="2"/>
        </w:numPr>
        <w:spacing w:after="60" w:before="60"/>
      </w:pPr>
      <w:r>
        <w:rPr>
          <w:rFonts w:ascii="Arial" w:cs="Arial" w:eastAsia="Arial" w:hAnsi="Arial"/>
          <w:b w:val="false"/>
          <w:bCs w:val="false"/>
          <w:color w:val="595959"/>
          <w:sz w:val="22"/>
          <w:szCs w:val="22"/>
        </w:rPr>
        <w:t xml:space="preserve">Human-in-the-loop validation — Claude proposes the RCA; a developer reviews and approves before CAPA is actioned</w:t>
      </w:r>
    </w:p>
    <w:p>
      <w:pPr>
        <w:pStyle w:val="ListParagraph"/>
        <w:numPr>
          <w:ilvl w:val="0"/>
          <w:numId w:val="2"/>
        </w:numPr>
        <w:spacing w:after="60" w:before="60"/>
      </w:pPr>
      <w:r>
        <w:rPr>
          <w:rFonts w:ascii="Arial" w:cs="Arial" w:eastAsia="Arial" w:hAnsi="Arial"/>
          <w:b w:val="false"/>
          <w:bCs w:val="false"/>
          <w:color w:val="595959"/>
          <w:sz w:val="22"/>
          <w:szCs w:val="22"/>
        </w:rPr>
        <w:t xml:space="preserve">No raw PII in exports — reports reference account IDs only; no patient names, SSNs, or health data in exported documents</w:t>
      </w:r>
    </w:p>
    <w:p>
      <w:pPr>
        <w:pStyle w:val="ListParagraph"/>
        <w:numPr>
          <w:ilvl w:val="0"/>
          <w:numId w:val="2"/>
        </w:numPr>
        <w:spacing w:after="60" w:before="60"/>
      </w:pPr>
      <w:r>
        <w:rPr>
          <w:rFonts w:ascii="Arial" w:cs="Arial" w:eastAsia="Arial" w:hAnsi="Arial"/>
          <w:b w:val="false"/>
          <w:bCs w:val="false"/>
          <w:color w:val="595959"/>
          <w:sz w:val="22"/>
          <w:szCs w:val="22"/>
        </w:rPr>
        <w:t xml:space="preserve">All processing on-premises — no data leaves the HIPAA-controlled Windows server; only the audit failure description and anonymized context is sent to Claude API</w:t>
      </w:r>
    </w:p>
    <w:p>
      <w:pPr>
        <w:spacing w:after="0" w:before="200"/>
      </w:pPr>
      <w:r>
        <w:t xml:space="preserve"/>
      </w:r>
    </w:p>
    <w:p>
      <w:pPr>
        <w:pStyle w:val="Heading1"/>
        <w:spacing w:after="200" w:before="400"/>
      </w:pPr>
      <w:r>
        <w:rPr>
          <w:rFonts w:ascii="Arial" w:cs="Arial" w:eastAsia="Arial" w:hAnsi="Arial"/>
          <w:b/>
          <w:bCs/>
          <w:color w:val="1F4E79"/>
          <w:sz w:val="36"/>
          <w:szCs w:val="36"/>
        </w:rPr>
        <w:t xml:space="preserve">4. Technical Specification</w:t>
      </w:r>
    </w:p>
    <w:p>
      <w:pPr>
        <w:pStyle w:val="Heading2"/>
        <w:pBdr>
          <w:bottom w:val="single" w:color="2E75B6" w:sz="4" w:space="4"/>
        </w:pBdr>
        <w:spacing w:after="160" w:before="320"/>
      </w:pPr>
      <w:r>
        <w:rPr>
          <w:rFonts w:ascii="Arial" w:cs="Arial" w:eastAsia="Arial" w:hAnsi="Arial"/>
          <w:b/>
          <w:bCs/>
          <w:color w:val="2E75B6"/>
          <w:sz w:val="28"/>
          <w:szCs w:val="28"/>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React + Tailwind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Same stack as existing Credence app — no new tooling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Backend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FastAPI (Python)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Existing infrastructure, handles async agent loops well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AI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Claude Sonnet 4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Enterprise account already active, tool-use capability, long context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DB Connector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pyodbc / ODBC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Existing Artiva DB connection method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Vector 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ChromaDB (local)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No external service required, runs on-premises, free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Audit Log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SQLite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Lightweight, no setup, existing pattern from Credence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Web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IIS (reverse proxy)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Already configured on HIPAA server for Credence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Report Export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python-docx / ReportLab</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Word and PDF export without Office installation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Deployment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PyInstaller .exe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Same deployment model as Credence — RDP file transfer, no Git</w:t>
            </w:r>
          </w:p>
        </w:tc>
      </w:tr>
    </w:tbl>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4.2 Claude API Tool Definitions</w:t>
      </w:r>
    </w:p>
    <w:p>
      <w:pPr>
        <w:pStyle w:val="Heading3"/>
        <w:spacing w:after="120" w:before="240"/>
      </w:pPr>
      <w:r>
        <w:rPr>
          <w:rFonts w:ascii="Arial" w:cs="Arial" w:eastAsia="Arial" w:hAnsi="Arial"/>
          <w:b/>
          <w:bCs/>
          <w:color w:val="1F4E79"/>
          <w:sz w:val="24"/>
          <w:szCs w:val="24"/>
        </w:rPr>
        <w:t xml:space="preserve">Tool 1: run_sql</w:t>
      </w:r>
    </w:p>
    <w:p>
      <w:pPr>
        <w:spacing w:after="120" w:before="80"/>
      </w:pPr>
      <w:r>
        <w:rPr>
          <w:rFonts w:ascii="Arial" w:cs="Arial" w:eastAsia="Arial" w:hAnsi="Arial"/>
          <w:color w:val="595959"/>
          <w:sz w:val="22"/>
          <w:szCs w:val="22"/>
        </w:rPr>
        <w:t xml:space="preserve">Purpose: Execute a read-only SQL query against the Artiva database and return results.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Parameter</w:t>
            </w:r>
          </w:p>
        </w:tc>
        <w:tc>
          <w:tcPr>
            <w:tcW w:type="dxa" w:w="70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query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SQL SELECT statement generated by Claude. Validated as read-only before execution.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max_rows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Maximum rows to return (default 50). Prevents context window overflow on large tables.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Returns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JSON array of rows. Truncated with a note if results exceed max_rows.</w:t>
            </w:r>
          </w:p>
        </w:tc>
      </w:tr>
    </w:tbl>
    <w:p>
      <w:pPr>
        <w:spacing w:after="0" w:before="120"/>
      </w:pPr>
      <w:r>
        <w:t xml:space="preserve"/>
      </w:r>
    </w:p>
    <w:p>
      <w:pPr>
        <w:pStyle w:val="Heading3"/>
        <w:spacing w:after="120" w:before="240"/>
      </w:pPr>
      <w:r>
        <w:rPr>
          <w:rFonts w:ascii="Arial" w:cs="Arial" w:eastAsia="Arial" w:hAnsi="Arial"/>
          <w:b/>
          <w:bCs/>
          <w:color w:val="1F4E79"/>
          <w:sz w:val="24"/>
          <w:szCs w:val="24"/>
        </w:rPr>
        <w:t xml:space="preserve">Tool 2: read_rule</w:t>
      </w:r>
    </w:p>
    <w:p>
      <w:pPr>
        <w:spacing w:after="120" w:before="80"/>
      </w:pPr>
      <w:r>
        <w:rPr>
          <w:rFonts w:ascii="Arial" w:cs="Arial" w:eastAsia="Arial" w:hAnsi="Arial"/>
          <w:color w:val="595959"/>
          <w:sz w:val="22"/>
          <w:szCs w:val="22"/>
        </w:rPr>
        <w:t xml:space="preserve">Purpose: Retrieve the most semantically relevant Artiva script chunks for a given failure context.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Parameter</w:t>
            </w:r>
          </w:p>
        </w:tc>
        <w:tc>
          <w:tcPr>
            <w:tcW w:type="dxa" w:w="70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query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Natural language description of what rule or condition to look up (e.g., 'credit reporting eligibility conditions')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top_k</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Number of chunks to retrieve (default 4). Higher values give more context but use more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Returns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Top-k script chunks with source script name, chunk text, and relevance score.</w:t>
            </w:r>
          </w:p>
        </w:tc>
      </w:tr>
    </w:tbl>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4.3 RCA Output Schema</w:t>
      </w:r>
    </w:p>
    <w:p>
      <w:pPr>
        <w:spacing w:after="120" w:before="80"/>
      </w:pPr>
      <w:r>
        <w:rPr>
          <w:rFonts w:ascii="Arial" w:cs="Arial" w:eastAsia="Arial" w:hAnsi="Arial"/>
          <w:color w:val="595959"/>
          <w:sz w:val="22"/>
          <w:szCs w:val="22"/>
        </w:rPr>
        <w:t xml:space="preserve">Every completed RCA produces a structured JSON record stored in SQLite and rendered in the UI:</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595959"/>
          <w:sz w:val="22"/>
          <w:szCs w:val="22"/>
        </w:rPr>
        <w:t xml:space="preserve">case_id — unique identifier linked to the original audit failure row</w:t>
      </w:r>
    </w:p>
    <w:p>
      <w:pPr>
        <w:pStyle w:val="ListParagraph"/>
        <w:numPr>
          <w:ilvl w:val="0"/>
          <w:numId w:val="2"/>
        </w:numPr>
        <w:spacing w:after="60" w:before="60"/>
      </w:pPr>
      <w:r>
        <w:rPr>
          <w:rFonts w:ascii="Arial" w:cs="Arial" w:eastAsia="Arial" w:hAnsi="Arial"/>
          <w:b w:val="false"/>
          <w:bCs w:val="false"/>
          <w:color w:val="595959"/>
          <w:sz w:val="22"/>
          <w:szCs w:val="22"/>
        </w:rPr>
        <w:t xml:space="preserve">account_id — Artiva account number</w:t>
      </w:r>
    </w:p>
    <w:p>
      <w:pPr>
        <w:pStyle w:val="ListParagraph"/>
        <w:numPr>
          <w:ilvl w:val="0"/>
          <w:numId w:val="2"/>
        </w:numPr>
        <w:spacing w:after="60" w:before="60"/>
      </w:pPr>
      <w:r>
        <w:rPr>
          <w:rFonts w:ascii="Arial" w:cs="Arial" w:eastAsia="Arial" w:hAnsi="Arial"/>
          <w:b w:val="false"/>
          <w:bCs w:val="false"/>
          <w:color w:val="595959"/>
          <w:sz w:val="22"/>
          <w:szCs w:val="22"/>
        </w:rPr>
        <w:t xml:space="preserve">failure_type — category of audit failure (e.g., credit reporting, payment posting, account eligibility)</w:t>
      </w:r>
    </w:p>
    <w:p>
      <w:pPr>
        <w:pStyle w:val="ListParagraph"/>
        <w:numPr>
          <w:ilvl w:val="0"/>
          <w:numId w:val="2"/>
        </w:numPr>
        <w:spacing w:after="60" w:before="60"/>
      </w:pPr>
      <w:r>
        <w:rPr>
          <w:rFonts w:ascii="Arial" w:cs="Arial" w:eastAsia="Arial" w:hAnsi="Arial"/>
          <w:b w:val="false"/>
          <w:bCs w:val="false"/>
          <w:color w:val="595959"/>
          <w:sz w:val="22"/>
          <w:szCs w:val="22"/>
        </w:rPr>
        <w:t xml:space="preserve">failure_date — date of the audit event</w:t>
      </w:r>
    </w:p>
    <w:p>
      <w:pPr>
        <w:pStyle w:val="ListParagraph"/>
        <w:numPr>
          <w:ilvl w:val="0"/>
          <w:numId w:val="2"/>
        </w:numPr>
        <w:spacing w:after="60" w:before="60"/>
      </w:pPr>
      <w:r>
        <w:rPr>
          <w:rFonts w:ascii="Arial" w:cs="Arial" w:eastAsia="Arial" w:hAnsi="Arial"/>
          <w:b w:val="false"/>
          <w:bCs w:val="false"/>
          <w:color w:val="595959"/>
          <w:sz w:val="22"/>
          <w:szCs w:val="22"/>
        </w:rPr>
        <w:t xml:space="preserve">root_cause — plain-English description of the identified cause</w:t>
      </w:r>
    </w:p>
    <w:p>
      <w:pPr>
        <w:pStyle w:val="ListParagraph"/>
        <w:numPr>
          <w:ilvl w:val="0"/>
          <w:numId w:val="2"/>
        </w:numPr>
        <w:spacing w:after="60" w:before="60"/>
      </w:pPr>
      <w:r>
        <w:rPr>
          <w:rFonts w:ascii="Arial" w:cs="Arial" w:eastAsia="Arial" w:hAnsi="Arial"/>
          <w:b w:val="false"/>
          <w:bCs w:val="false"/>
          <w:color w:val="595959"/>
          <w:sz w:val="22"/>
          <w:szCs w:val="22"/>
        </w:rPr>
        <w:t xml:space="preserve">evidence — list of SQL query results and script excerpts that support the conclusion</w:t>
      </w:r>
    </w:p>
    <w:p>
      <w:pPr>
        <w:pStyle w:val="ListParagraph"/>
        <w:numPr>
          <w:ilvl w:val="0"/>
          <w:numId w:val="2"/>
        </w:numPr>
        <w:spacing w:after="60" w:before="60"/>
      </w:pPr>
      <w:r>
        <w:rPr>
          <w:rFonts w:ascii="Arial" w:cs="Arial" w:eastAsia="Arial" w:hAnsi="Arial"/>
          <w:b w:val="false"/>
          <w:bCs w:val="false"/>
          <w:color w:val="595959"/>
          <w:sz w:val="22"/>
          <w:szCs w:val="22"/>
        </w:rPr>
        <w:t xml:space="preserve">contributing_factors — secondary conditions that may have contributed</w:t>
      </w:r>
    </w:p>
    <w:p>
      <w:pPr>
        <w:pStyle w:val="ListParagraph"/>
        <w:numPr>
          <w:ilvl w:val="0"/>
          <w:numId w:val="2"/>
        </w:numPr>
        <w:spacing w:after="60" w:before="60"/>
      </w:pPr>
      <w:r>
        <w:rPr>
          <w:rFonts w:ascii="Arial" w:cs="Arial" w:eastAsia="Arial" w:hAnsi="Arial"/>
          <w:b w:val="false"/>
          <w:bCs w:val="false"/>
          <w:color w:val="595959"/>
          <w:sz w:val="22"/>
          <w:szCs w:val="22"/>
        </w:rPr>
        <w:t xml:space="preserve">capa_required — boolean flag indicating whether a corrective action is needed</w:t>
      </w:r>
    </w:p>
    <w:p>
      <w:pPr>
        <w:pStyle w:val="ListParagraph"/>
        <w:numPr>
          <w:ilvl w:val="0"/>
          <w:numId w:val="2"/>
        </w:numPr>
        <w:spacing w:after="60" w:before="60"/>
      </w:pPr>
      <w:r>
        <w:rPr>
          <w:rFonts w:ascii="Arial" w:cs="Arial" w:eastAsia="Arial" w:hAnsi="Arial"/>
          <w:b w:val="false"/>
          <w:bCs w:val="false"/>
          <w:color w:val="595959"/>
          <w:sz w:val="22"/>
          <w:szCs w:val="22"/>
        </w:rPr>
        <w:t xml:space="preserve">capa_recommendation — specific recommended action if capa_required is true</w:t>
      </w:r>
    </w:p>
    <w:p>
      <w:pPr>
        <w:pStyle w:val="ListParagraph"/>
        <w:numPr>
          <w:ilvl w:val="0"/>
          <w:numId w:val="2"/>
        </w:numPr>
        <w:spacing w:after="60" w:before="60"/>
      </w:pPr>
      <w:r>
        <w:rPr>
          <w:rFonts w:ascii="Arial" w:cs="Arial" w:eastAsia="Arial" w:hAnsi="Arial"/>
          <w:b w:val="false"/>
          <w:bCs w:val="false"/>
          <w:color w:val="595959"/>
          <w:sz w:val="22"/>
          <w:szCs w:val="22"/>
        </w:rPr>
        <w:t xml:space="preserve">confidence — agent's self-assessed confidence level (High / Medium / Low)</w:t>
      </w:r>
    </w:p>
    <w:p>
      <w:pPr>
        <w:pStyle w:val="ListParagraph"/>
        <w:numPr>
          <w:ilvl w:val="0"/>
          <w:numId w:val="2"/>
        </w:numPr>
        <w:spacing w:after="60" w:before="60"/>
      </w:pPr>
      <w:r>
        <w:rPr>
          <w:rFonts w:ascii="Arial" w:cs="Arial" w:eastAsia="Arial" w:hAnsi="Arial"/>
          <w:b w:val="false"/>
          <w:bCs w:val="false"/>
          <w:color w:val="595959"/>
          <w:sz w:val="22"/>
          <w:szCs w:val="22"/>
        </w:rPr>
        <w:t xml:space="preserve">reasoning_trace — full step-by-step log of queries run, tools called, and intermediate conclusions</w:t>
      </w:r>
    </w:p>
    <w:p>
      <w:pPr>
        <w:pStyle w:val="ListParagraph"/>
        <w:numPr>
          <w:ilvl w:val="0"/>
          <w:numId w:val="2"/>
        </w:numPr>
        <w:spacing w:after="60" w:before="60"/>
      </w:pPr>
      <w:r>
        <w:rPr>
          <w:rFonts w:ascii="Arial" w:cs="Arial" w:eastAsia="Arial" w:hAnsi="Arial"/>
          <w:b w:val="false"/>
          <w:bCs w:val="false"/>
          <w:color w:val="595959"/>
          <w:sz w:val="22"/>
          <w:szCs w:val="22"/>
        </w:rPr>
        <w:t xml:space="preserve">reviewed_by — developer who approved the RCA (populated after human review)</w:t>
      </w:r>
    </w:p>
    <w:p>
      <w:pPr>
        <w:pStyle w:val="ListParagraph"/>
        <w:numPr>
          <w:ilvl w:val="0"/>
          <w:numId w:val="2"/>
        </w:numPr>
        <w:spacing w:after="60" w:before="60"/>
      </w:pPr>
      <w:r>
        <w:rPr>
          <w:rFonts w:ascii="Arial" w:cs="Arial" w:eastAsia="Arial" w:hAnsi="Arial"/>
          <w:b w:val="false"/>
          <w:bCs w:val="false"/>
          <w:color w:val="595959"/>
          <w:sz w:val="22"/>
          <w:szCs w:val="22"/>
        </w:rPr>
        <w:t xml:space="preserve">created_at — timestamp of RCA generation</w:t>
      </w:r>
    </w:p>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4.4 Deployment Constraints</w:t>
      </w:r>
    </w:p>
    <w:p>
      <w:pPr>
        <w:spacing w:after="120" w:before="80"/>
      </w:pPr>
      <w:r>
        <w:rPr>
          <w:rFonts w:ascii="Arial" w:cs="Arial" w:eastAsia="Arial" w:hAnsi="Arial"/>
          <w:color w:val="595959"/>
          <w:sz w:val="22"/>
          <w:szCs w:val="22"/>
        </w:rPr>
        <w:t xml:space="preserve">This tool operates under the same deployment constraints as the existing Credence application:</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595959"/>
          <w:sz w:val="22"/>
          <w:szCs w:val="22"/>
        </w:rPr>
        <w:t xml:space="preserve">No Git — all file transfers via RDP only</w:t>
      </w:r>
    </w:p>
    <w:p>
      <w:pPr>
        <w:pStyle w:val="ListParagraph"/>
        <w:numPr>
          <w:ilvl w:val="0"/>
          <w:numId w:val="2"/>
        </w:numPr>
        <w:spacing w:after="60" w:before="60"/>
      </w:pPr>
      <w:r>
        <w:rPr>
          <w:rFonts w:ascii="Arial" w:cs="Arial" w:eastAsia="Arial" w:hAnsi="Arial"/>
          <w:b w:val="false"/>
          <w:bCs w:val="false"/>
          <w:color w:val="595959"/>
          <w:sz w:val="22"/>
          <w:szCs w:val="22"/>
        </w:rPr>
        <w:t xml:space="preserve">No direct software installation — dependencies bundled via PyInstaller</w:t>
      </w:r>
    </w:p>
    <w:p>
      <w:pPr>
        <w:pStyle w:val="ListParagraph"/>
        <w:numPr>
          <w:ilvl w:val="0"/>
          <w:numId w:val="2"/>
        </w:numPr>
        <w:spacing w:after="60" w:before="60"/>
      </w:pPr>
      <w:r>
        <w:rPr>
          <w:rFonts w:ascii="Arial" w:cs="Arial" w:eastAsia="Arial" w:hAnsi="Arial"/>
          <w:b w:val="false"/>
          <w:bCs w:val="false"/>
          <w:color w:val="595959"/>
          <w:sz w:val="22"/>
          <w:szCs w:val="22"/>
        </w:rPr>
        <w:t xml:space="preserve">IIS reverse proxy — FastAPI backend served through existing IIS configuration</w:t>
      </w:r>
    </w:p>
    <w:p>
      <w:pPr>
        <w:pStyle w:val="ListParagraph"/>
        <w:numPr>
          <w:ilvl w:val="0"/>
          <w:numId w:val="2"/>
        </w:numPr>
        <w:spacing w:after="60" w:before="60"/>
      </w:pPr>
      <w:r>
        <w:rPr>
          <w:rFonts w:ascii="Arial" w:cs="Arial" w:eastAsia="Arial" w:hAnsi="Arial"/>
          <w:b w:val="false"/>
          <w:bCs w:val="false"/>
          <w:color w:val="595959"/>
          <w:sz w:val="22"/>
          <w:szCs w:val="22"/>
        </w:rPr>
        <w:t xml:space="preserve">HIPAA Windows Server — no data leaves the controlled environment except anonymized failure descriptions sent to Claude API</w:t>
      </w:r>
    </w:p>
    <w:p>
      <w:pPr>
        <w:pStyle w:val="ListParagraph"/>
        <w:numPr>
          <w:ilvl w:val="0"/>
          <w:numId w:val="2"/>
        </w:numPr>
        <w:spacing w:after="60" w:before="60"/>
      </w:pPr>
      <w:r>
        <w:rPr>
          <w:rFonts w:ascii="Arial" w:cs="Arial" w:eastAsia="Arial" w:hAnsi="Arial"/>
          <w:b w:val="false"/>
          <w:bCs w:val="false"/>
          <w:color w:val="595959"/>
          <w:sz w:val="22"/>
          <w:szCs w:val="22"/>
        </w:rPr>
        <w:t xml:space="preserve">ADFS SSO — access controlled via existing role-based authentication (admin/user roles)</w:t>
      </w:r>
    </w:p>
    <w:p>
      <w:pPr>
        <w:spacing w:after="0" w:before="200"/>
      </w:pPr>
      <w:r>
        <w:t xml:space="preserve"/>
      </w:r>
    </w:p>
    <w:p>
      <w:pPr>
        <w:pStyle w:val="Heading1"/>
        <w:spacing w:after="200" w:before="400"/>
      </w:pPr>
      <w:r>
        <w:rPr>
          <w:rFonts w:ascii="Arial" w:cs="Arial" w:eastAsia="Arial" w:hAnsi="Arial"/>
          <w:b/>
          <w:bCs/>
          <w:color w:val="1F4E79"/>
          <w:sz w:val="36"/>
          <w:szCs w:val="36"/>
        </w:rPr>
        <w:t xml:space="preserve">5. Implementation Plan</w:t>
      </w:r>
    </w:p>
    <w:p>
      <w:pPr>
        <w:pStyle w:val="Heading2"/>
        <w:pBdr>
          <w:bottom w:val="single" w:color="2E75B6" w:sz="4" w:space="4"/>
        </w:pBdr>
        <w:spacing w:after="160" w:before="320"/>
      </w:pPr>
      <w:r>
        <w:rPr>
          <w:rFonts w:ascii="Arial" w:cs="Arial" w:eastAsia="Arial" w:hAnsi="Arial"/>
          <w:b/>
          <w:bCs/>
          <w:color w:val="2E75B6"/>
          <w:sz w:val="28"/>
          <w:szCs w:val="28"/>
        </w:rPr>
        <w:t xml:space="preserve">5.1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960"/>
        <w:gridCol w:w="18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Name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Deliverables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Proof of Concept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Upload Artiva docs to Claude Project. Test script comprehension on 3–5 known cases. Go/no-go decision.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2–3 days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Agent Core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Claude tool-use loop with run_sql and read_rule. Dummy data. Reasoning trace logger.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Data Layer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Live pyodbc connection (read-only user). SQL query validator. Result truncation.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RAG Layer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Artiva script parser and chunker. ChromaDB index. read_rule tool. Retrieval accuracy testing.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FastAPI + React 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Excel upload endpoint. RCA viewer with trace log. Human review/approval workflow.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Export + Reports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Word and PDF RCA report generation. Batch export for management. CAPA summary view.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595959"/>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Testing &amp; 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Backtest against 20 known RCAs. Accuracy review with team. Performance and load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595959"/>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Total</w:t>
            </w:r>
          </w:p>
        </w:tc>
        <w:tc>
          <w:tcPr>
            <w:tcW w:type="dxa" w:w="6360"/>
            <w:gridSpan w:val="2"/>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From proof-of-concept to production deployment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5–6 weeks</w:t>
            </w:r>
          </w:p>
        </w:tc>
      </w:tr>
    </w:tbl>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5.2 Critical Path</w:t>
      </w:r>
    </w:p>
    <w:p>
      <w:pPr>
        <w:spacing w:after="120" w:before="80"/>
      </w:pPr>
      <w:r>
        <w:rPr>
          <w:rFonts w:ascii="Arial" w:cs="Arial" w:eastAsia="Arial" w:hAnsi="Arial"/>
          <w:color w:val="595959"/>
          <w:sz w:val="22"/>
          <w:szCs w:val="22"/>
        </w:rPr>
        <w:t xml:space="preserve">Phase 1 (proof of concept) is the gate. If Claude cannot correctly interpret Artiva scripts after being given the documentation, the RAG layer design must be revisited before any further build begins. All subsequent phases depend on Phase 1 validation.</w:t>
      </w:r>
    </w:p>
    <w:p>
      <w:pPr>
        <w:spacing w:after="0" w:before="200"/>
      </w:pPr>
      <w:r>
        <w:t xml:space="preserve"/>
      </w:r>
    </w:p>
    <w:p>
      <w:pPr>
        <w:pStyle w:val="Heading1"/>
        <w:spacing w:after="200" w:before="400"/>
      </w:pPr>
      <w:r>
        <w:rPr>
          <w:rFonts w:ascii="Arial" w:cs="Arial" w:eastAsia="Arial" w:hAnsi="Arial"/>
          <w:b/>
          <w:bCs/>
          <w:color w:val="1F4E79"/>
          <w:sz w:val="36"/>
          <w:szCs w:val="36"/>
        </w:rPr>
        <w:t xml:space="preserve">6. Cost-Benefit Analysis</w:t>
      </w:r>
    </w:p>
    <w:p>
      <w:pPr>
        <w:pStyle w:val="Heading2"/>
        <w:pBdr>
          <w:bottom w:val="single" w:color="2E75B6" w:sz="4" w:space="4"/>
        </w:pBdr>
        <w:spacing w:after="160" w:before="320"/>
      </w:pPr>
      <w:r>
        <w:rPr>
          <w:rFonts w:ascii="Arial" w:cs="Arial" w:eastAsia="Arial" w:hAnsi="Arial"/>
          <w:b/>
          <w:bCs/>
          <w:color w:val="2E75B6"/>
          <w:sz w:val="28"/>
          <w:szCs w:val="28"/>
        </w:rPr>
        <w:t xml:space="preserve">6.1 Assumptions</w:t>
      </w:r>
    </w:p>
    <w:p>
      <w:pPr>
        <w:pStyle w:val="ListParagraph"/>
        <w:numPr>
          <w:ilvl w:val="0"/>
          <w:numId w:val="2"/>
        </w:numPr>
        <w:spacing w:after="60" w:before="60"/>
      </w:pPr>
      <w:r>
        <w:rPr>
          <w:rFonts w:ascii="Arial" w:cs="Arial" w:eastAsia="Arial" w:hAnsi="Arial"/>
          <w:b w:val="false"/>
          <w:bCs w:val="false"/>
          <w:color w:val="595959"/>
          <w:sz w:val="22"/>
          <w:szCs w:val="22"/>
        </w:rPr>
        <w:t xml:space="preserve">RCA volume: 100–150 cases per month</w:t>
      </w:r>
    </w:p>
    <w:p>
      <w:pPr>
        <w:pStyle w:val="ListParagraph"/>
        <w:numPr>
          <w:ilvl w:val="0"/>
          <w:numId w:val="2"/>
        </w:numPr>
        <w:spacing w:after="60" w:before="60"/>
      </w:pPr>
      <w:r>
        <w:rPr>
          <w:rFonts w:ascii="Arial" w:cs="Arial" w:eastAsia="Arial" w:hAnsi="Arial"/>
          <w:b w:val="false"/>
          <w:bCs w:val="false"/>
          <w:color w:val="595959"/>
          <w:sz w:val="22"/>
          <w:szCs w:val="22"/>
        </w:rPr>
        <w:t xml:space="preserve">Current average time per manual RCA: 30–60 minutes (mid-point: 45 minutes used in calculations)</w:t>
      </w:r>
    </w:p>
    <w:p>
      <w:pPr>
        <w:pStyle w:val="ListParagraph"/>
        <w:numPr>
          <w:ilvl w:val="0"/>
          <w:numId w:val="2"/>
        </w:numPr>
        <w:spacing w:after="60" w:before="60"/>
      </w:pPr>
      <w:r>
        <w:rPr>
          <w:rFonts w:ascii="Arial" w:cs="Arial" w:eastAsia="Arial" w:hAnsi="Arial"/>
          <w:b w:val="false"/>
          <w:bCs w:val="false"/>
          <w:color w:val="595959"/>
          <w:sz w:val="22"/>
          <w:szCs w:val="22"/>
        </w:rPr>
        <w:t xml:space="preserve">Developer hourly cost: conservative estimate used for ROI — actual savings scale with seniority</w:t>
      </w:r>
    </w:p>
    <w:p>
      <w:pPr>
        <w:pStyle w:val="ListParagraph"/>
        <w:numPr>
          <w:ilvl w:val="0"/>
          <w:numId w:val="2"/>
        </w:numPr>
        <w:spacing w:after="60" w:before="60"/>
      </w:pPr>
      <w:r>
        <w:rPr>
          <w:rFonts w:ascii="Arial" w:cs="Arial" w:eastAsia="Arial" w:hAnsi="Arial"/>
          <w:b w:val="false"/>
          <w:bCs w:val="false"/>
          <w:color w:val="595959"/>
          <w:sz w:val="22"/>
          <w:szCs w:val="22"/>
        </w:rPr>
        <w:t xml:space="preserve">Claude API pricing: Sonnet 4 at $3/M input tokens, $15/M output tokens (enterprise rate)</w:t>
      </w:r>
    </w:p>
    <w:p>
      <w:pPr>
        <w:pStyle w:val="ListParagraph"/>
        <w:numPr>
          <w:ilvl w:val="0"/>
          <w:numId w:val="2"/>
        </w:numPr>
        <w:spacing w:after="60" w:before="60"/>
      </w:pPr>
      <w:r>
        <w:rPr>
          <w:rFonts w:ascii="Arial" w:cs="Arial" w:eastAsia="Arial" w:hAnsi="Arial"/>
          <w:b w:val="false"/>
          <w:bCs w:val="false"/>
          <w:color w:val="595959"/>
          <w:sz w:val="22"/>
          <w:szCs w:val="22"/>
        </w:rPr>
        <w:t xml:space="preserve">Token usage per RCA: ~4,000–7,000 tokens total (3–6 reasoning rounds)</w:t>
      </w:r>
    </w:p>
    <w:p>
      <w:pPr>
        <w:pStyle w:val="ListParagraph"/>
        <w:numPr>
          <w:ilvl w:val="0"/>
          <w:numId w:val="2"/>
        </w:numPr>
        <w:spacing w:after="60" w:before="60"/>
      </w:pPr>
      <w:r>
        <w:rPr>
          <w:rFonts w:ascii="Arial" w:cs="Arial" w:eastAsia="Arial" w:hAnsi="Arial"/>
          <w:b w:val="false"/>
          <w:bCs w:val="false"/>
          <w:color w:val="595959"/>
          <w:sz w:val="22"/>
          <w:szCs w:val="22"/>
        </w:rPr>
        <w:t xml:space="preserve">Server infrastructure: existing HIPAA Windows server, no incremental hosting cost</w:t>
      </w:r>
    </w:p>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6.2 Build Cost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Effort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Phase 1: PoC &amp; validation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2–3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Go/no-go gate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Phase 2: Agent core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 week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Core logic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Phase 3: Data layer (pyodbc)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 week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DB integration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Phase 4: RAG layer (script index)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 week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Highest complexity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Phase 5: FastAPI + React 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 week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Existing stack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Phase 6: Export + reports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 week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Word/PDF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Phase 7: Testing &amp; validation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 week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Backtest 20 cases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Artiva rules library extraction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1–2 days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One-time manual effort</w:t>
            </w:r>
          </w:p>
        </w:tc>
      </w:tr>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Total Build Investment</w:t>
            </w:r>
          </w:p>
        </w:tc>
        <w:tc>
          <w:tcPr>
            <w:tcW w:type="dxa" w:w="4680"/>
            <w:gridSpan w:val="2"/>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5–6 weeks developer time (one-time)</w:t>
            </w:r>
          </w:p>
        </w:tc>
      </w:tr>
    </w:tbl>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6.3 Ongoing Monthly OpEx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Cost Item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Monthly Cost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Claude API — 100 RCAs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@$0.03–0.05/RCA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Claude API — 150 RCAs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Upper bound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HIPAA Windows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$0 incremental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Already running Credence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IIS / networking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Already configured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ChromaDB / SQLite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Open source, on-premises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Rules library maintenance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~1–2 hrs/month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Update when Artiva scripts change</w:t>
            </w:r>
          </w:p>
        </w:tc>
      </w:tr>
      <w:tr>
        <w:tc>
          <w:tcPr>
            <w:tcW w:type="dxa" w:w="4680"/>
            <w:tcBorders>
              <w:top w:val="single" w:color="CCCCCC" w:sz="1"/>
              <w:left w:val="single" w:color="CCCCCC" w:sz="1"/>
              <w:bottom w:val="single" w:color="CCCCCC" w:sz="1"/>
              <w:right w:val="single" w:color="CCCCCC" w:sz="1"/>
            </w:tcBorders>
            <w:shd w:fill="1E7B34" w:val="clear"/>
            <w:tcMar>
              <w:top w:type="dxa" w:w="80"/>
              <w:left w:type="dxa" w:w="140"/>
              <w:bottom w:type="dxa" w:w="80"/>
              <w:right w:type="dxa" w:w="140"/>
            </w:tcMar>
          </w:tcPr>
          <w:p>
            <w:r>
              <w:rPr>
                <w:rFonts w:ascii="Arial" w:cs="Arial" w:eastAsia="Arial" w:hAnsi="Arial"/>
                <w:b/>
                <w:bCs/>
                <w:color w:val="FFFFFF"/>
                <w:sz w:val="20"/>
                <w:szCs w:val="20"/>
              </w:rPr>
              <w:t xml:space="preserve">Total Monthly Cash OpEx</w:t>
            </w:r>
          </w:p>
        </w:tc>
        <w:tc>
          <w:tcPr>
            <w:tcW w:type="dxa" w:w="4680"/>
            <w:gridSpan w:val="2"/>
            <w:tcBorders>
              <w:top w:val="single" w:color="CCCCCC" w:sz="1"/>
              <w:left w:val="single" w:color="CCCCCC" w:sz="1"/>
              <w:bottom w:val="single" w:color="CCCCCC" w:sz="1"/>
              <w:right w:val="single" w:color="CCCCCC" w:sz="1"/>
            </w:tcBorders>
            <w:shd w:fill="1E7B34" w:val="clear"/>
            <w:tcMar>
              <w:top w:type="dxa" w:w="80"/>
              <w:left w:type="dxa" w:w="140"/>
              <w:bottom w:type="dxa" w:w="80"/>
              <w:right w:type="dxa" w:w="140"/>
            </w:tcMar>
          </w:tcPr>
          <w:p>
            <w:r>
              <w:rPr>
                <w:rFonts w:ascii="Arial" w:cs="Arial" w:eastAsia="Arial" w:hAnsi="Arial"/>
                <w:b/>
                <w:bCs/>
                <w:color w:val="FFFFFF"/>
                <w:sz w:val="20"/>
                <w:szCs w:val="20"/>
              </w:rPr>
              <w:t xml:space="preserve">~$8–10/month</w:t>
            </w:r>
          </w:p>
        </w:tc>
      </w:tr>
    </w:tbl>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6.4 Monthly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Savings Item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100 RCAs/mo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150 RCAs/mo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Developer hours eliminated (45 min avg → 5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~67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~100 hours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Reduced re-investigation (wrong first RCA)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~10 hours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~15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Audit trail auto-generated (compliance prep)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~5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~8 hours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Standardized CAPA (fewer escalations)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~5 hours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~8 hours</w:t>
            </w:r>
          </w:p>
        </w:tc>
      </w:tr>
      <w:tr>
        <w:tc>
          <w:tcPr>
            <w:tcW w:type="dxa" w:w="4680"/>
            <w:tcBorders>
              <w:top w:val="single" w:color="CCCCCC" w:sz="1"/>
              <w:left w:val="single" w:color="CCCCCC" w:sz="1"/>
              <w:bottom w:val="single" w:color="CCCCCC" w:sz="1"/>
              <w:right w:val="single" w:color="CCCCCC" w:sz="1"/>
            </w:tcBorders>
            <w:shd w:fill="1E7B34" w:val="clear"/>
            <w:tcMar>
              <w:top w:type="dxa" w:w="80"/>
              <w:left w:type="dxa" w:w="140"/>
              <w:bottom w:type="dxa" w:w="80"/>
              <w:right w:type="dxa" w:w="140"/>
            </w:tcMar>
          </w:tcPr>
          <w:p>
            <w:r>
              <w:rPr>
                <w:rFonts w:ascii="Arial" w:cs="Arial" w:eastAsia="Arial" w:hAnsi="Arial"/>
                <w:b/>
                <w:bCs/>
                <w:color w:val="FFFFFF"/>
                <w:sz w:val="20"/>
                <w:szCs w:val="20"/>
              </w:rPr>
              <w:t xml:space="preserve">Total Developer Hours Saved/Month</w:t>
            </w:r>
          </w:p>
        </w:tc>
        <w:tc>
          <w:tcPr>
            <w:tcW w:type="dxa" w:w="2340"/>
            <w:tcBorders>
              <w:top w:val="single" w:color="CCCCCC" w:sz="1"/>
              <w:left w:val="single" w:color="CCCCCC" w:sz="1"/>
              <w:bottom w:val="single" w:color="CCCCCC" w:sz="1"/>
              <w:right w:val="single" w:color="CCCCCC" w:sz="1"/>
            </w:tcBorders>
            <w:shd w:fill="1E7B34" w:val="clear"/>
            <w:tcMar>
              <w:top w:type="dxa" w:w="80"/>
              <w:left w:type="dxa" w:w="140"/>
              <w:bottom w:type="dxa" w:w="80"/>
              <w:right w:type="dxa" w:w="140"/>
            </w:tcMar>
          </w:tcPr>
          <w:p>
            <w:r>
              <w:rPr>
                <w:rFonts w:ascii="Arial" w:cs="Arial" w:eastAsia="Arial" w:hAnsi="Arial"/>
                <w:b/>
                <w:bCs/>
                <w:color w:val="FFFFFF"/>
                <w:sz w:val="20"/>
                <w:szCs w:val="20"/>
              </w:rPr>
              <w:t xml:space="preserve">~87 hours</w:t>
            </w:r>
          </w:p>
        </w:tc>
        <w:tc>
          <w:tcPr>
            <w:tcW w:type="dxa" w:w="2340"/>
            <w:tcBorders>
              <w:top w:val="single" w:color="CCCCCC" w:sz="1"/>
              <w:left w:val="single" w:color="CCCCCC" w:sz="1"/>
              <w:bottom w:val="single" w:color="CCCCCC" w:sz="1"/>
              <w:right w:val="single" w:color="CCCCCC" w:sz="1"/>
            </w:tcBorders>
            <w:shd w:fill="1E7B34" w:val="clear"/>
            <w:tcMar>
              <w:top w:type="dxa" w:w="80"/>
              <w:left w:type="dxa" w:w="140"/>
              <w:bottom w:type="dxa" w:w="80"/>
              <w:right w:type="dxa" w:w="140"/>
            </w:tcMar>
          </w:tcPr>
          <w:p>
            <w:r>
              <w:rPr>
                <w:rFonts w:ascii="Arial" w:cs="Arial" w:eastAsia="Arial" w:hAnsi="Arial"/>
                <w:b/>
                <w:bCs/>
                <w:color w:val="FFFFFF"/>
                <w:sz w:val="20"/>
                <w:szCs w:val="20"/>
              </w:rPr>
              <w:t xml:space="preserve">~131 hours</w:t>
            </w:r>
          </w:p>
        </w:tc>
      </w:tr>
    </w:tbl>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6.5 ROI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FE1" w:val="clear"/>
            <w:tcMar>
              <w:top w:type="dxa" w:w="160"/>
              <w:left w:type="dxa" w:w="240"/>
              <w:bottom w:type="dxa" w:w="160"/>
              <w:right w:type="dxa" w:w="240"/>
            </w:tcMar>
          </w:tcPr>
          <w:p>
            <w:r>
              <w:rPr>
                <w:rFonts w:ascii="Arial" w:cs="Arial" w:eastAsia="Arial" w:hAnsi="Arial"/>
                <w:b/>
                <w:bCs/>
                <w:color w:val="1E7B34"/>
                <w:sz w:val="22"/>
                <w:szCs w:val="22"/>
              </w:rPr>
              <w:t xml:space="preserve">Payback Period</w:t>
            </w:r>
          </w:p>
          <w:p>
            <w:pPr>
              <w:spacing w:before="60"/>
            </w:pPr>
            <w:r>
              <w:rPr>
                <w:rFonts w:ascii="Arial" w:cs="Arial" w:eastAsia="Arial" w:hAnsi="Arial"/>
                <w:color w:val="595959"/>
                <w:sz w:val="21"/>
                <w:szCs w:val="21"/>
              </w:rPr>
              <w:t xml:space="preserve">The tool pays back its build investment (5–6 weeks dev time) within the first 3–4 weeks of production operation. Every month after that is pure gain at a cost of $8–10.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Monthly API 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B34"/>
                <w:sz w:val="20"/>
                <w:szCs w:val="20"/>
              </w:rPr>
              <w:t xml:space="preserve">~$8–10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Fixed, predictable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Dev hours saved/month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E7B34"/>
                <w:sz w:val="20"/>
                <w:szCs w:val="20"/>
              </w:rPr>
              <w:t xml:space="preserve">87–131 hours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Redirected to higher-value 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Cost per RCA (post-deploy)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B34"/>
                <w:sz w:val="20"/>
                <w:szCs w:val="20"/>
              </w:rPr>
              <w:t xml:space="preserve">~$0.05–0.07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API cost + amortized maintenance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Payback period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E7B34"/>
                <w:sz w:val="20"/>
                <w:szCs w:val="20"/>
              </w:rPr>
              <w:t xml:space="preserve">3–4 weeks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From first day in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12-month net benefit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B34"/>
                <w:sz w:val="20"/>
                <w:szCs w:val="20"/>
              </w:rPr>
              <w:t xml:space="preserve">~1,000–1,500 dev 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Minus ~$120 annual API cost</w:t>
            </w:r>
          </w:p>
        </w:tc>
      </w:tr>
    </w:tbl>
    <w:p>
      <w:pPr>
        <w:spacing w:after="0" w:before="160"/>
      </w:pPr>
      <w:r>
        <w:t xml:space="preserve"/>
      </w:r>
    </w:p>
    <w:p>
      <w:pPr>
        <w:pStyle w:val="Heading2"/>
        <w:pBdr>
          <w:bottom w:val="single" w:color="2E75B6" w:sz="4" w:space="4"/>
        </w:pBdr>
        <w:spacing w:after="160" w:before="320"/>
      </w:pPr>
      <w:r>
        <w:rPr>
          <w:rFonts w:ascii="Arial" w:cs="Arial" w:eastAsia="Arial" w:hAnsi="Arial"/>
          <w:b/>
          <w:bCs/>
          <w:color w:val="2E75B6"/>
          <w:sz w:val="28"/>
          <w:szCs w:val="28"/>
        </w:rPr>
        <w:t xml:space="preserve">6.6 Intangible Benefits</w:t>
      </w:r>
    </w:p>
    <w:p>
      <w:pPr>
        <w:spacing w:after="120" w:before="80"/>
      </w:pPr>
      <w:r>
        <w:rPr>
          <w:rFonts w:ascii="Arial" w:cs="Arial" w:eastAsia="Arial" w:hAnsi="Arial"/>
          <w:color w:val="595959"/>
          <w:sz w:val="22"/>
          <w:szCs w:val="22"/>
        </w:rPr>
        <w:t xml:space="preserve">Beyond the quantifiable time savings, the tool delivers significant intangible value:</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595959"/>
          <w:sz w:val="22"/>
          <w:szCs w:val="22"/>
        </w:rPr>
        <w:t xml:space="preserve">HIPAA compliance — every RCA now has a complete, timestamped audit trail with evidence. This is currently absent and represents a compliance gap.</w:t>
      </w:r>
    </w:p>
    <w:p>
      <w:pPr>
        <w:pStyle w:val="ListParagraph"/>
        <w:numPr>
          <w:ilvl w:val="0"/>
          <w:numId w:val="2"/>
        </w:numPr>
        <w:spacing w:after="60" w:before="60"/>
      </w:pPr>
      <w:r>
        <w:rPr>
          <w:rFonts w:ascii="Arial" w:cs="Arial" w:eastAsia="Arial" w:hAnsi="Arial"/>
          <w:b w:val="false"/>
          <w:bCs w:val="false"/>
          <w:color w:val="595959"/>
          <w:sz w:val="22"/>
          <w:szCs w:val="22"/>
        </w:rPr>
        <w:t xml:space="preserve">Consistency — RCA quality no longer depends on which developer investigates. Every case gets the same systematic reasoning process.</w:t>
      </w:r>
    </w:p>
    <w:p>
      <w:pPr>
        <w:pStyle w:val="ListParagraph"/>
        <w:numPr>
          <w:ilvl w:val="0"/>
          <w:numId w:val="2"/>
        </w:numPr>
        <w:spacing w:after="60" w:before="60"/>
      </w:pPr>
      <w:r>
        <w:rPr>
          <w:rFonts w:ascii="Arial" w:cs="Arial" w:eastAsia="Arial" w:hAnsi="Arial"/>
          <w:b w:val="false"/>
          <w:bCs w:val="false"/>
          <w:color w:val="595959"/>
          <w:sz w:val="22"/>
          <w:szCs w:val="22"/>
        </w:rPr>
        <w:t xml:space="preserve">Knowledge retention — the rules library and reasoning traces become institutional knowledge that persists even when team members leave.</w:t>
      </w:r>
    </w:p>
    <w:p>
      <w:pPr>
        <w:pStyle w:val="ListParagraph"/>
        <w:numPr>
          <w:ilvl w:val="0"/>
          <w:numId w:val="2"/>
        </w:numPr>
        <w:spacing w:after="60" w:before="60"/>
      </w:pPr>
      <w:r>
        <w:rPr>
          <w:rFonts w:ascii="Arial" w:cs="Arial" w:eastAsia="Arial" w:hAnsi="Arial"/>
          <w:b w:val="false"/>
          <w:bCs w:val="false"/>
          <w:color w:val="595959"/>
          <w:sz w:val="22"/>
          <w:szCs w:val="22"/>
        </w:rPr>
        <w:t xml:space="preserve">Scalability — if RCA volume increases (new audits, regulatory changes), the tool scales at $0.05/case rather than requiring additional headcount.</w:t>
      </w:r>
    </w:p>
    <w:p>
      <w:pPr>
        <w:pStyle w:val="ListParagraph"/>
        <w:numPr>
          <w:ilvl w:val="0"/>
          <w:numId w:val="2"/>
        </w:numPr>
        <w:spacing w:after="60" w:before="60"/>
      </w:pPr>
      <w:r>
        <w:rPr>
          <w:rFonts w:ascii="Arial" w:cs="Arial" w:eastAsia="Arial" w:hAnsi="Arial"/>
          <w:b w:val="false"/>
          <w:bCs w:val="false"/>
          <w:color w:val="595959"/>
          <w:sz w:val="22"/>
          <w:szCs w:val="22"/>
        </w:rPr>
        <w:t xml:space="preserve">Developer morale — eliminates the most tedious, repetitive part of the developer workflow, allowing focus on higher-value engineering work.</w:t>
      </w:r>
    </w:p>
    <w:p>
      <w:pPr>
        <w:spacing w:after="0" w:before="200"/>
      </w:pPr>
      <w:r>
        <w:t xml:space="preserve"/>
      </w:r>
    </w:p>
    <w:p>
      <w:pPr>
        <w:pStyle w:val="Heading1"/>
        <w:spacing w:after="200" w:before="400"/>
      </w:pPr>
      <w:r>
        <w:rPr>
          <w:rFonts w:ascii="Arial" w:cs="Arial" w:eastAsia="Arial" w:hAnsi="Arial"/>
          <w:b/>
          <w:bCs/>
          <w:color w:val="1F4E79"/>
          <w:sz w:val="36"/>
          <w:szCs w:val="36"/>
        </w:rP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Likelihood</w:t>
            </w:r>
          </w:p>
        </w:tc>
        <w:tc>
          <w:tcPr>
            <w:tcW w:type="dxa" w:w="54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Claude misinterprets Artiva scripts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E36C09"/>
                <w:sz w:val="20"/>
                <w:szCs w:val="20"/>
              </w:rPr>
              <w:t xml:space="preserve">Medium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Phase 1 PoC validates this before any build. Human-in-the-loop review before CAPA actioned.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RAG retrieves wrong script chunks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E36C09"/>
                <w:sz w:val="20"/>
                <w:szCs w:val="20"/>
              </w:rPr>
              <w:t xml:space="preserve">Medium</w:t>
            </w:r>
          </w:p>
        </w:tc>
        <w:tc>
          <w:tcPr>
            <w:tcW w:type="dxa" w:w="5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Confidence scoring on retrieval. Low-confidence cases flagged for manual review. Iterative improvement of chunking strategy.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Artiva scripts change frequently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E36C09"/>
                <w:sz w:val="20"/>
                <w:szCs w:val="20"/>
              </w:rPr>
              <w:t xml:space="preserve">Medium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Rules library maintenance process established. Change log maintained. Monthly review cycle.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SQL queries time out on large tables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E7B34"/>
                <w:sz w:val="20"/>
                <w:szCs w:val="20"/>
              </w:rPr>
              <w:t xml:space="preserve">Low</w:t>
            </w:r>
          </w:p>
        </w:tc>
        <w:tc>
          <w:tcPr>
            <w:tcW w:type="dxa" w:w="5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Queries scoped to specific account_id. Row limits enforced. Query timeout set at 30 seconds with graceful fallback.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HIPAA data exposure via 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B34"/>
                <w:sz w:val="20"/>
                <w:szCs w:val="20"/>
              </w:rPr>
              <w:t xml:space="preserve">Low</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Only anonymized failure descriptions sent to Claude API. No PII, no account balances, no health data. Reviewed by compliance team before launch.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Team resistance to AI-generated RCA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E7B34"/>
                <w:sz w:val="20"/>
                <w:szCs w:val="20"/>
              </w:rPr>
              <w:t xml:space="preserve">Low</w:t>
            </w:r>
          </w:p>
        </w:tc>
        <w:tc>
          <w:tcPr>
            <w:tcW w:type="dxa" w:w="5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Tool assists, not replaces. Developer reviews and approves every RCA before it is actioned. Framed as a time-saver, not a replacement.</w:t>
            </w:r>
          </w:p>
        </w:tc>
      </w:tr>
    </w:tbl>
    <w:p>
      <w:pPr>
        <w:spacing w:after="0" w:before="200"/>
      </w:pPr>
      <w:r>
        <w:t xml:space="preserve"/>
      </w:r>
    </w:p>
    <w:p>
      <w:pPr>
        <w:pStyle w:val="Heading1"/>
        <w:spacing w:after="200" w:before="400"/>
      </w:pPr>
      <w:r>
        <w:rPr>
          <w:rFonts w:ascii="Arial" w:cs="Arial" w:eastAsia="Arial" w:hAnsi="Arial"/>
          <w:b/>
          <w:bCs/>
          <w:color w:val="1F4E79"/>
          <w:sz w:val="36"/>
          <w:szCs w:val="36"/>
        </w:rPr>
        <w:t xml:space="preserve">8. Success Metrics</w:t>
      </w:r>
    </w:p>
    <w:p>
      <w:pPr>
        <w:spacing w:after="120" w:before="80"/>
      </w:pPr>
      <w:r>
        <w:rPr>
          <w:rFonts w:ascii="Arial" w:cs="Arial" w:eastAsia="Arial" w:hAnsi="Arial"/>
          <w:color w:val="595959"/>
          <w:sz w:val="22"/>
          <w:szCs w:val="22"/>
        </w:rPr>
        <w:t xml:space="preserve">The following KPIs define success at 90 days post-deployment: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Baseline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Average time per RCA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30–60 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B34"/>
                <w:sz w:val="20"/>
                <w:szCs w:val="20"/>
              </w:rPr>
              <w:t xml:space="preserve">&lt; 10 min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RCA accuracy (vs expert review)</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N/A (manual)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E7B34"/>
                <w:sz w:val="20"/>
                <w:szCs w:val="20"/>
              </w:rPr>
              <w:t xml:space="preserve">&gt; 85%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 of RCAs with full audit trail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B34"/>
                <w:sz w:val="20"/>
                <w:szCs w:val="20"/>
              </w:rPr>
              <w:t xml:space="preserve">100%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CAPA re-open rate (wrong root cause)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Unknown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E7B34"/>
                <w:sz w:val="20"/>
                <w:szCs w:val="20"/>
              </w:rPr>
              <w:t xml:space="preserve">&lt; 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Developer hours reclaimed/month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E7B34"/>
                <w:sz w:val="20"/>
                <w:szCs w:val="20"/>
              </w:rPr>
              <w:t xml:space="preserve">&gt; 80 hours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Monthly API cost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1E7B34"/>
                <w:sz w:val="20"/>
                <w:szCs w:val="20"/>
              </w:rPr>
              <w:t xml:space="preserve">&lt; $15</w:t>
            </w:r>
          </w:p>
        </w:tc>
      </w:tr>
    </w:tbl>
    <w:p>
      <w:pPr>
        <w:spacing w:after="0" w:before="200"/>
      </w:pPr>
      <w:r>
        <w:t xml:space="preserve"/>
      </w:r>
    </w:p>
    <w:p>
      <w:pPr>
        <w:pStyle w:val="Heading1"/>
        <w:spacing w:after="200" w:before="400"/>
      </w:pPr>
      <w:r>
        <w:rPr>
          <w:rFonts w:ascii="Arial" w:cs="Arial" w:eastAsia="Arial" w:hAnsi="Arial"/>
          <w:b/>
          <w:bCs/>
          <w:color w:val="1F4E79"/>
          <w:sz w:val="36"/>
          <w:szCs w:val="36"/>
        </w:rPr>
        <w:t xml:space="preserve">9. Next Steps</w:t>
      </w:r>
    </w:p>
    <w:p>
      <w:pPr>
        <w:spacing w:after="120" w:before="80"/>
      </w:pPr>
      <w:r>
        <w:rPr>
          <w:rFonts w:ascii="Arial" w:cs="Arial" w:eastAsia="Arial" w:hAnsi="Arial"/>
          <w:color w:val="595959"/>
          <w:sz w:val="22"/>
          <w:szCs w:val="22"/>
        </w:rPr>
        <w:t xml:space="preserve">The immediate action to progress this initiative:</w:t>
      </w:r>
    </w:p>
    <w:p>
      <w:pPr>
        <w:spacing w:after="0" w:before="80"/>
      </w:pPr>
      <w:r>
        <w:t xml:space="preserve"/>
      </w:r>
    </w:p>
    <w:p>
      <w:pPr>
        <w:pStyle w:val="ListParagraph"/>
        <w:numPr>
          <w:ilvl w:val="0"/>
          <w:numId w:val="3"/>
        </w:numPr>
        <w:spacing w:after="80" w:before="80"/>
      </w:pPr>
      <w:r>
        <w:rPr>
          <w:rFonts w:ascii="Arial" w:cs="Arial" w:eastAsia="Arial" w:hAnsi="Arial"/>
          <w:b/>
          <w:bCs/>
          <w:color w:val="595959"/>
          <w:sz w:val="22"/>
          <w:szCs w:val="22"/>
        </w:rPr>
        <w:t xml:space="preserve">Upload Artiva documentation to a Claude Enterprise Project and test script comprehension against 3–5 known failure cases. This is the go/no-go gate — do this before any development begins.</w:t>
      </w:r>
    </w:p>
    <w:p>
      <w:pPr>
        <w:pStyle w:val="ListParagraph"/>
        <w:numPr>
          <w:ilvl w:val="0"/>
          <w:numId w:val="3"/>
        </w:numPr>
        <w:spacing w:after="80" w:before="80"/>
      </w:pPr>
      <w:r>
        <w:rPr>
          <w:rFonts w:ascii="Arial" w:cs="Arial" w:eastAsia="Arial" w:hAnsi="Arial"/>
          <w:color w:val="595959"/>
          <w:sz w:val="22"/>
          <w:szCs w:val="22"/>
        </w:rPr>
        <w:t xml:space="preserve">Share a sanitized sample audit failure Excel row to finalize the input schema and agent prompt design.</w:t>
      </w:r>
    </w:p>
    <w:p>
      <w:pPr>
        <w:pStyle w:val="ListParagraph"/>
        <w:numPr>
          <w:ilvl w:val="0"/>
          <w:numId w:val="3"/>
        </w:numPr>
        <w:spacing w:after="80" w:before="80"/>
      </w:pPr>
      <w:r>
        <w:rPr>
          <w:rFonts w:ascii="Arial" w:cs="Arial" w:eastAsia="Arial" w:hAnsi="Arial"/>
          <w:color w:val="595959"/>
          <w:sz w:val="22"/>
          <w:szCs w:val="22"/>
        </w:rPr>
        <w:t xml:space="preserve">Get compliance sign-off on the data handling approach — specifically, confirming that anonymized failure descriptions (no PII) can be sent to the Claude API.</w:t>
      </w:r>
    </w:p>
    <w:p>
      <w:pPr>
        <w:pStyle w:val="ListParagraph"/>
        <w:numPr>
          <w:ilvl w:val="0"/>
          <w:numId w:val="3"/>
        </w:numPr>
        <w:spacing w:after="80" w:before="80"/>
      </w:pPr>
      <w:r>
        <w:rPr>
          <w:rFonts w:ascii="Arial" w:cs="Arial" w:eastAsia="Arial" w:hAnsi="Arial"/>
          <w:color w:val="595959"/>
          <w:sz w:val="22"/>
          <w:szCs w:val="22"/>
        </w:rPr>
        <w:t xml:space="preserve">Provision a read-only database user for Artiva with SELECT-only permissions scoped to relevant tables.</w:t>
      </w:r>
    </w:p>
    <w:p>
      <w:pPr>
        <w:pStyle w:val="ListParagraph"/>
        <w:numPr>
          <w:ilvl w:val="0"/>
          <w:numId w:val="3"/>
        </w:numPr>
        <w:spacing w:after="80" w:before="80"/>
      </w:pPr>
      <w:r>
        <w:rPr>
          <w:rFonts w:ascii="Arial" w:cs="Arial" w:eastAsia="Arial" w:hAnsi="Arial"/>
          <w:color w:val="595959"/>
          <w:sz w:val="22"/>
          <w:szCs w:val="22"/>
        </w:rPr>
        <w:t xml:space="preserve">Begin Phase 2 development once PoC is validated.</w:t>
      </w:r>
    </w:p>
    <w:p>
      <w:pPr>
        <w:spacing w:after="0" w:before="200"/>
      </w:pPr>
      <w:r>
        <w:t xml:space="preserve"/>
      </w:r>
    </w:p>
    <w:p>
      <w:pPr>
        <w:pStyle w:val="Heading1"/>
        <w:spacing w:after="200" w:before="400"/>
      </w:pPr>
      <w:r>
        <w:rPr>
          <w:rFonts w:ascii="Arial" w:cs="Arial" w:eastAsia="Arial" w:hAnsi="Arial"/>
          <w:b/>
          <w:bCs/>
          <w:color w:val="1F4E79"/>
          <w:sz w:val="36"/>
          <w:szCs w:val="36"/>
        </w:rPr>
        <w:t xml:space="preserve">10.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Term</w:t>
            </w:r>
          </w:p>
        </w:tc>
        <w:tc>
          <w:tcPr>
            <w:tcW w:type="dxa" w:w="70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RCA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Root Cause Analysis — investigation to identify the fundamental reason an audit failure occurred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CAPA</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Corrective and Preventive Action — the remediation taken to fix the root cause and prevent recurrence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Artiva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Ontario Systems collections management platform used by Credence to manage accounts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LLMOps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The operational practice of deploying, monitoring, and maintaining LLM-based systems in 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RAG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Retrieval-Augmented Generation — technique where relevant documents are fetched and injected into the LLM context at query time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Tool-Use / Function Calling</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Claude API capability allowing the model to call external functions (e.g., run SQL, read files) as part of its reasoning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Agentic Loop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Iterative reasoning pattern where the model takes actions, observes results, and decides the next step until a goal is reached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ChromaDB</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Open-source vector database used to store and retrieve script embeddings locally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HIPAA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Health Insurance Portability and Accountability Act — US law governing the handling of protected health information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TCO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595959"/>
                <w:sz w:val="20"/>
                <w:szCs w:val="20"/>
              </w:rPr>
              <w:t xml:space="preserve">Total Cost of Ownership — all costs associated with a system over its lifetime, including build, operation, and maintenance</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8"/>
        <w:szCs w:val="18"/>
      </w:rPr>
      <w:t xml:space="preserve">Credence Resource Management  |  Internal Use Only</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Automated RCA/CAPA Intelligence Tool — Product Spec</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2026-06-12T09:33:24.673Z</dcterms:created>
  <dcterms:modified xsi:type="dcterms:W3CDTF">2026-06-12T09:33:24.683Z</dcterms:modified>
</cp:coreProperties>
</file>

<file path=docProps/custom.xml><?xml version="1.0" encoding="utf-8"?>
<Properties xmlns="http://schemas.openxmlformats.org/officeDocument/2006/custom-properties" xmlns:vt="http://schemas.openxmlformats.org/officeDocument/2006/docPropsVTypes"/>
</file>