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4"/>
        </w:rPr>
        <w:t>Engineering Guide: Databricks AI Gateway on AWS</w:t>
      </w:r>
    </w:p>
    <w:p>
      <w:pPr>
        <w:spacing w:before="0" w:after="280"/>
      </w:pPr>
      <w:r>
        <w:rPr>
          <w:rFonts w:ascii="Segoe UI" w:hAnsi="Segoe UI"/>
          <w:color w:val="EA580C"/>
          <w:sz w:val="24"/>
        </w:rPr>
        <w:t>Production Architecture, Operational Excellence, Cost Engineering &amp; DABs on AWS</w:t>
      </w:r>
    </w:p>
    <w:p>
      <w:pPr>
        <w:spacing w:before="0" w:after="120" w:line="288" w:lineRule="auto"/>
      </w:pPr>
      <w:r>
        <w:rPr>
          <w:rFonts w:ascii="Segoe UI" w:hAnsi="Segoe UI"/>
          <w:color w:val="334155"/>
          <w:sz w:val="21"/>
        </w:rPr>
        <w:t>When you deploy LLMs and GenAI agents on Databricks running on AWS, you operate across two billing surfaces and two operational models simultaneously: Databricks DBUs and underlying AWS infrastructure resources (EC2 instances, EBS volumes, VPC PrivateLink, S3 storage, and KMS keys). Unchecked multi-agent loops, over-provisioned GPU clusters, uncompacted Delta inference tables, or naive token handling can quickly inflate your AWS and Databricks invoices. This technical guide details the exact architecture, code patterns, Inference Table schemas, operational observability foundations, and Databricks Asset Bundle (DAB) templates needed for radical reliability and cost efficiency on AWS.</w:t>
      </w:r>
    </w:p>
    <w:p>
      <w:pPr>
        <w:pStyle w:val="Heading1"/>
        <w:spacing w:before="280" w:after="80"/>
      </w:pPr>
      <w:r>
        <w:rPr>
          <w:rFonts w:ascii="Segoe UI" w:hAnsi="Segoe UI"/>
          <w:b/>
          <w:color w:val="0F172A"/>
          <w:sz w:val="28"/>
        </w:rPr>
        <w:t>1. Production Architecture on AWS</w:t>
      </w:r>
    </w:p>
    <w:p>
      <w:pPr>
        <w:spacing w:before="0" w:after="120" w:line="288" w:lineRule="auto"/>
      </w:pPr>
      <w:r>
        <w:rPr>
          <w:rFonts w:ascii="Segoe UI" w:hAnsi="Segoe UI"/>
          <w:color w:val="334155"/>
          <w:sz w:val="21"/>
        </w:rPr>
        <w:t>A production-ready Databricks AI Gateway setup on AWS consists of four tightly integrated layers: Ingress Security, Gateway Governance, Mosaic Compute, and AWS Storage/Billing observability.</w:t>
      </w:r>
    </w:p>
    <w:p>
      <w:pPr>
        <w:pStyle w:val="ListBullet"/>
        <w:spacing w:before="20" w:after="60" w:line="276" w:lineRule="auto"/>
      </w:pPr>
      <w:r>
        <w:rPr>
          <w:rFonts w:ascii="Segoe UI" w:hAnsi="Segoe UI"/>
          <w:b/>
          <w:color w:val="0F172A"/>
          <w:sz w:val="20"/>
        </w:rPr>
        <w:t xml:space="preserve">Secure Ingress &amp; Identity (AWS IAM + Databricks M2M): </w:t>
      </w:r>
      <w:r>
        <w:rPr>
          <w:rFonts w:ascii="Segoe UI" w:hAnsi="Segoe UI"/>
          <w:color w:val="334155"/>
          <w:sz w:val="20"/>
        </w:rPr>
        <w:t>Workloads inside your AWS VPC (microservices on EKS, ECS, or Lambda) authenticate to Databricks Model Serving using OAuth 2.0 Machine-to-Machine (M2M) tokens via Databricks Service Principals, communicating over AWS PrivateLink endpoints without traversing the public internet.</w:t>
      </w:r>
    </w:p>
    <w:p>
      <w:pPr>
        <w:pStyle w:val="ListBullet"/>
        <w:spacing w:before="20" w:after="60" w:line="276" w:lineRule="auto"/>
      </w:pPr>
      <w:r>
        <w:rPr>
          <w:rFonts w:ascii="Segoe UI" w:hAnsi="Segoe UI"/>
          <w:b/>
          <w:color w:val="0F172A"/>
          <w:sz w:val="20"/>
        </w:rPr>
        <w:t xml:space="preserve">AI Gateway Governance Layer: </w:t>
      </w:r>
      <w:r>
        <w:rPr>
          <w:rFonts w:ascii="Segoe UI" w:hAnsi="Segoe UI"/>
          <w:color w:val="334155"/>
          <w:sz w:val="20"/>
        </w:rPr>
        <w:t>Enforces strict queries-per-minute (QPM) and tokens-per-minute (TPM) rate caps, automatic multi-provider fallback (e.g., AWS Bedrock to Anthropic), real-time PII and prompt injection filters, and semantic caching before requests touch compute.</w:t>
      </w:r>
    </w:p>
    <w:p>
      <w:pPr>
        <w:pStyle w:val="ListBullet"/>
        <w:spacing w:before="20" w:after="60" w:line="276" w:lineRule="auto"/>
      </w:pPr>
      <w:r>
        <w:rPr>
          <w:rFonts w:ascii="Segoe UI" w:hAnsi="Segoe UI"/>
          <w:b/>
          <w:color w:val="0F172A"/>
          <w:sz w:val="20"/>
        </w:rPr>
        <w:t xml:space="preserve">Compute Engine (Mosaic AI Model Serving): </w:t>
      </w:r>
      <w:r>
        <w:rPr>
          <w:rFonts w:ascii="Segoe UI" w:hAnsi="Segoe UI"/>
          <w:color w:val="334155"/>
          <w:sz w:val="20"/>
        </w:rPr>
        <w:t>Differentiates between external Pay-Per-Token foundation endpoints (Llama 3.3, Claude, DBRX) and self-hosted models running on serverless AWS EC2 instances (CPU tiers vs. GPU tiers like G5 with A10G or P4d with A100), configured with aggressive scale-to-zero compute.</w:t>
      </w:r>
    </w:p>
    <w:p>
      <w:pPr>
        <w:pStyle w:val="ListBullet"/>
        <w:spacing w:before="20" w:after="60" w:line="276" w:lineRule="auto"/>
      </w:pPr>
      <w:r>
        <w:rPr>
          <w:rFonts w:ascii="Segoe UI" w:hAnsi="Segoe UI"/>
          <w:b/>
          <w:color w:val="0F172A"/>
          <w:sz w:val="20"/>
        </w:rPr>
        <w:t xml:space="preserve">Storage, Billing &amp; Auditing Layer: </w:t>
      </w:r>
      <w:r>
        <w:rPr>
          <w:rFonts w:ascii="Segoe UI" w:hAnsi="Segoe UI"/>
          <w:color w:val="334155"/>
          <w:sz w:val="20"/>
        </w:rPr>
        <w:t>Inference tables automatically write raw payloads to Unity Catalog Delta tables residing on Amazon S3. DBU consumption is tracked via system.billing.usage, while underlying infrastructure costs flow into AWS Cost Allocation Tags.</w:t>
      </w:r>
    </w:p>
    <w:p>
      <w:pPr>
        <w:pStyle w:val="Heading1"/>
        <w:spacing w:before="280" w:after="80"/>
      </w:pPr>
      <w:r>
        <w:rPr>
          <w:rFonts w:ascii="Segoe UI" w:hAnsi="Segoe UI"/>
          <w:b/>
          <w:color w:val="0F172A"/>
          <w:sz w:val="28"/>
        </w:rPr>
        <w:t>2. Operational Excellence via Inference Tables</w:t>
      </w:r>
    </w:p>
    <w:p>
      <w:pPr>
        <w:spacing w:before="0" w:after="120" w:line="288" w:lineRule="auto"/>
      </w:pPr>
      <w:r>
        <w:rPr>
          <w:rFonts w:ascii="Segoe UI" w:hAnsi="Segoe UI"/>
          <w:color w:val="334155"/>
          <w:sz w:val="21"/>
        </w:rPr>
        <w:t>Inference tables sit squarely as the telemetry engine of the AI Gateway. You cannot optimize costs or guarantee uptime without deep, continuous observability. Enabling Inference Tables provides the foundation required to operate models safely in production:</w:t>
      </w:r>
    </w:p>
    <w:p>
      <w:pPr>
        <w:pStyle w:val="ListBullet"/>
        <w:spacing w:before="20" w:after="60" w:line="276" w:lineRule="auto"/>
      </w:pPr>
      <w:r>
        <w:rPr>
          <w:rFonts w:ascii="Segoe UI" w:hAnsi="Segoe UI"/>
          <w:b/>
          <w:color w:val="0F172A"/>
          <w:sz w:val="20"/>
        </w:rPr>
        <w:t xml:space="preserve">Auditability &amp; Zero-Middleware Observability: </w:t>
      </w:r>
      <w:r>
        <w:rPr>
          <w:rFonts w:ascii="Segoe UI" w:hAnsi="Segoe UI"/>
          <w:color w:val="334155"/>
          <w:sz w:val="20"/>
        </w:rPr>
        <w:t>Automatically records every request and response payload into Unity Catalog Delta tables without requiring custom telemetry middleware, sidecars, or extra microservice logging logic.</w:t>
      </w:r>
    </w:p>
    <w:p>
      <w:pPr>
        <w:pStyle w:val="ListBullet"/>
        <w:spacing w:before="20" w:after="60" w:line="276" w:lineRule="auto"/>
      </w:pPr>
      <w:r>
        <w:rPr>
          <w:rFonts w:ascii="Segoe UI" w:hAnsi="Segoe UI"/>
          <w:b/>
          <w:color w:val="0F172A"/>
          <w:sz w:val="20"/>
        </w:rPr>
        <w:t xml:space="preserve">Failure &amp; Latency Diagnostics: </w:t>
      </w:r>
      <w:r>
        <w:rPr>
          <w:rFonts w:ascii="Segoe UI" w:hAnsi="Segoe UI"/>
          <w:color w:val="334155"/>
          <w:sz w:val="20"/>
        </w:rPr>
        <w:t>Logs granular HTTP status codes (status_code), processing duration (execution_time_ms), and internal serving errors. This immediately highlights downstream provider outages, container throttling, or latency degradation before users complain.</w:t>
      </w:r>
    </w:p>
    <w:p>
      <w:pPr>
        <w:pStyle w:val="ListBullet"/>
        <w:spacing w:before="20" w:after="60" w:line="276" w:lineRule="auto"/>
      </w:pPr>
      <w:r>
        <w:rPr>
          <w:rFonts w:ascii="Segoe UI" w:hAnsi="Segoe UI"/>
          <w:b/>
          <w:color w:val="0F172A"/>
          <w:sz w:val="20"/>
        </w:rPr>
        <w:t xml:space="preserve">Model Quality &amp; Drift Detection: </w:t>
      </w:r>
      <w:r>
        <w:rPr>
          <w:rFonts w:ascii="Segoe UI" w:hAnsi="Segoe UI"/>
          <w:color w:val="334155"/>
          <w:sz w:val="20"/>
        </w:rPr>
        <w:t>Plugs natively into Lakehouse Monitoring to track data drift, hallucination indicators, perplexity shifts, and toxic prompt patterns over time across production inputs.</w:t>
      </w:r>
    </w:p>
    <w:p>
      <w:pPr>
        <w:pStyle w:val="ListBullet"/>
        <w:spacing w:before="20" w:after="60" w:line="276" w:lineRule="auto"/>
      </w:pPr>
      <w:r>
        <w:rPr>
          <w:rFonts w:ascii="Segoe UI" w:hAnsi="Segoe UI"/>
          <w:b/>
          <w:color w:val="0F172A"/>
          <w:sz w:val="20"/>
        </w:rPr>
        <w:t xml:space="preserve">Security &amp; Compliance Assurance: </w:t>
      </w:r>
      <w:r>
        <w:rPr>
          <w:rFonts w:ascii="Segoe UI" w:hAnsi="Segoe UI"/>
          <w:color w:val="334155"/>
          <w:sz w:val="20"/>
        </w:rPr>
        <w:t>Provides immutable, verifiable proof of compliance for sensitive data handling, demonstrating that AI Gateway safety guardrails and PII scrubbers are actively filtering requests as designed.</w:t>
      </w:r>
    </w:p>
    <w:p>
      <w:pPr>
        <w:spacing w:before="0" w:after="120" w:line="288" w:lineRule="auto"/>
      </w:pPr>
      <w:r>
        <w:rPr>
          <w:rFonts w:ascii="Segoe UI" w:hAnsi="Segoe UI"/>
          <w:b/>
          <w:color w:val="0F172A"/>
          <w:sz w:val="21"/>
        </w:rPr>
        <w:t xml:space="preserve">Inference Table Data Schema: </w:t>
      </w:r>
      <w:r>
        <w:rPr>
          <w:rFonts w:ascii="Segoe UI" w:hAnsi="Segoe UI"/>
          <w:color w:val="334155"/>
          <w:sz w:val="21"/>
        </w:rPr>
        <w:t>When enabled on an endpoint, Databricks automatically provisions a Delta table on Amazon S3 with this standardized schema:</w:t>
      </w:r>
    </w:p>
    <w:tbl>
      <w:tblPr>
        <w:tblW w:type="auto" w:w="0"/>
        <w:jc w:val="center"/>
        <w:tblLayout w:type="fixed"/>
        <w:tblLook w:firstColumn="1" w:firstRow="1" w:lastColumn="0" w:lastRow="0" w:noHBand="0" w:noVBand="1" w:val="04A0"/>
      </w:tblPr>
      <w:tblGrid>
        <w:gridCol w:w="2592"/>
        <w:gridCol w:w="1728"/>
        <w:gridCol w:w="5328"/>
      </w:tblGrid>
      <w:tr>
        <w:tc>
          <w:tcPr>
            <w:tcW w:type="dxa" w:w="3216"/>
            <w:shd w:fill="0F172A"/>
            <w:tcMar>
              <w:top w:w="80" w:type="dxa"/>
              <w:bottom w:w="80" w:type="dxa"/>
              <w:left w:w="100" w:type="dxa"/>
              <w:right w:w="100" w:type="dxa"/>
            </w:tcMar>
          </w:tcPr>
          <w:p>
            <w:r>
              <w:rPr>
                <w:rFonts w:ascii="Segoe UI" w:hAnsi="Segoe UI"/>
                <w:b/>
                <w:color w:val="FFFFFF"/>
                <w:sz w:val="19"/>
              </w:rPr>
              <w:t>Column Name</w:t>
            </w:r>
          </w:p>
        </w:tc>
        <w:tc>
          <w:tcPr>
            <w:tcW w:type="dxa" w:w="3216"/>
            <w:shd w:fill="0F172A"/>
            <w:tcMar>
              <w:top w:w="80" w:type="dxa"/>
              <w:bottom w:w="80" w:type="dxa"/>
              <w:left w:w="100" w:type="dxa"/>
              <w:right w:w="100" w:type="dxa"/>
            </w:tcMar>
          </w:tcPr>
          <w:p>
            <w:r>
              <w:rPr>
                <w:rFonts w:ascii="Segoe UI" w:hAnsi="Segoe UI"/>
                <w:b/>
                <w:color w:val="FFFFFF"/>
                <w:sz w:val="19"/>
              </w:rPr>
              <w:t>Data Type</w:t>
            </w:r>
          </w:p>
        </w:tc>
        <w:tc>
          <w:tcPr>
            <w:tcW w:type="dxa" w:w="3216"/>
            <w:shd w:fill="0F172A"/>
            <w:tcMar>
              <w:top w:w="80" w:type="dxa"/>
              <w:bottom w:w="80" w:type="dxa"/>
              <w:left w:w="100" w:type="dxa"/>
              <w:right w:w="100" w:type="dxa"/>
            </w:tcMar>
          </w:tcPr>
          <w:p>
            <w:r>
              <w:rPr>
                <w:rFonts w:ascii="Segoe UI" w:hAnsi="Segoe UI"/>
                <w:b/>
                <w:color w:val="FFFFFF"/>
                <w:sz w:val="19"/>
              </w:rPr>
              <w:t>Operational Purpose &amp; Description</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date</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DATE</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Partition key (YYYY-MM-DD). Crucial for optimizing query pruning and retention TTLs.</w:t>
            </w:r>
          </w:p>
        </w:tc>
      </w:tr>
      <w:tr>
        <w:tc>
          <w:tcPr>
            <w:tcW w:type="dxa" w:w="3216"/>
            <w:shd w:fill="F8FAFC"/>
            <w:tcMar>
              <w:top w:w="70" w:type="dxa"/>
              <w:bottom w:w="70" w:type="dxa"/>
              <w:left w:w="90" w:type="dxa"/>
              <w:right w:w="90" w:type="dxa"/>
            </w:tcMar>
          </w:tcPr>
          <w:p>
            <w:pPr>
              <w:spacing w:line="276" w:lineRule="auto"/>
            </w:pPr>
            <w:r>
              <w:rPr>
                <w:rFonts w:ascii="Segoe UI" w:hAnsi="Segoe UI"/>
                <w:b/>
                <w:color w:val="0F172A"/>
                <w:sz w:val="17"/>
              </w:rPr>
              <w:t>timestamp_ms</w:t>
            </w:r>
          </w:p>
        </w:tc>
        <w:tc>
          <w:tcPr>
            <w:tcW w:type="dxa" w:w="3216"/>
            <w:shd w:fill="F8FAFC"/>
            <w:tcMar>
              <w:top w:w="70" w:type="dxa"/>
              <w:bottom w:w="70" w:type="dxa"/>
              <w:left w:w="90" w:type="dxa"/>
              <w:right w:w="90" w:type="dxa"/>
            </w:tcMar>
          </w:tcPr>
          <w:p>
            <w:pPr>
              <w:spacing w:line="276" w:lineRule="auto"/>
            </w:pPr>
            <w:r>
              <w:rPr>
                <w:rFonts w:ascii="Segoe UI" w:hAnsi="Segoe UI"/>
                <w:color w:val="EA580C"/>
                <w:sz w:val="17"/>
              </w:rPr>
              <w:t>BIGINT</w:t>
            </w:r>
          </w:p>
        </w:tc>
        <w:tc>
          <w:tcPr>
            <w:tcW w:type="dxa" w:w="3216"/>
            <w:shd w:fill="F8FAFC"/>
            <w:tcMar>
              <w:top w:w="70" w:type="dxa"/>
              <w:bottom w:w="70" w:type="dxa"/>
              <w:left w:w="90" w:type="dxa"/>
              <w:right w:w="90" w:type="dxa"/>
            </w:tcMar>
          </w:tcPr>
          <w:p>
            <w:pPr>
              <w:spacing w:line="276" w:lineRule="auto"/>
            </w:pPr>
            <w:r>
              <w:rPr>
                <w:rFonts w:ascii="Segoe UI" w:hAnsi="Segoe UI"/>
                <w:color w:val="334155"/>
                <w:sz w:val="17"/>
              </w:rPr>
              <w:t>Epoch timestamp in ms when the request was received by the model serving container.</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endpoint_name</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Name of the serving endpoint handling the API call.</w:t>
            </w:r>
          </w:p>
        </w:tc>
      </w:tr>
      <w:tr>
        <w:tc>
          <w:tcPr>
            <w:tcW w:type="dxa" w:w="3216"/>
            <w:shd w:fill="F8FAFC"/>
            <w:tcMar>
              <w:top w:w="70" w:type="dxa"/>
              <w:bottom w:w="70" w:type="dxa"/>
              <w:left w:w="90" w:type="dxa"/>
              <w:right w:w="90" w:type="dxa"/>
            </w:tcMar>
          </w:tcPr>
          <w:p>
            <w:pPr>
              <w:spacing w:line="276" w:lineRule="auto"/>
            </w:pPr>
            <w:r>
              <w:rPr>
                <w:rFonts w:ascii="Segoe UI" w:hAnsi="Segoe UI"/>
                <w:b/>
                <w:color w:val="0F172A"/>
                <w:sz w:val="17"/>
              </w:rPr>
              <w:t>endpoint_id</w:t>
            </w:r>
          </w:p>
        </w:tc>
        <w:tc>
          <w:tcPr>
            <w:tcW w:type="dxa" w:w="3216"/>
            <w:shd w:fill="F8FAFC"/>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8FAFC"/>
            <w:tcMar>
              <w:top w:w="70" w:type="dxa"/>
              <w:bottom w:w="70" w:type="dxa"/>
              <w:left w:w="90" w:type="dxa"/>
              <w:right w:w="90" w:type="dxa"/>
            </w:tcMar>
          </w:tcPr>
          <w:p>
            <w:pPr>
              <w:spacing w:line="276" w:lineRule="auto"/>
            </w:pPr>
            <w:r>
              <w:rPr>
                <w:rFonts w:ascii="Segoe UI" w:hAnsi="Segoe UI"/>
                <w:color w:val="334155"/>
                <w:sz w:val="17"/>
              </w:rPr>
              <w:t>Internal UUID representing the endpoint resource in Unity Catalog.</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served_entity_name</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Entity route handling the call (e.g. external foundation model or custom ML model).</w:t>
            </w:r>
          </w:p>
        </w:tc>
      </w:tr>
      <w:tr>
        <w:tc>
          <w:tcPr>
            <w:tcW w:type="dxa" w:w="3216"/>
            <w:shd w:fill="F8FAFC"/>
            <w:tcMar>
              <w:top w:w="70" w:type="dxa"/>
              <w:bottom w:w="70" w:type="dxa"/>
              <w:left w:w="90" w:type="dxa"/>
              <w:right w:w="90" w:type="dxa"/>
            </w:tcMar>
          </w:tcPr>
          <w:p>
            <w:pPr>
              <w:spacing w:line="276" w:lineRule="auto"/>
            </w:pPr>
            <w:r>
              <w:rPr>
                <w:rFonts w:ascii="Segoe UI" w:hAnsi="Segoe UI"/>
                <w:b/>
                <w:color w:val="0F172A"/>
                <w:sz w:val="17"/>
              </w:rPr>
              <w:t>served_entity_version</w:t>
            </w:r>
          </w:p>
        </w:tc>
        <w:tc>
          <w:tcPr>
            <w:tcW w:type="dxa" w:w="3216"/>
            <w:shd w:fill="F8FAFC"/>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8FAFC"/>
            <w:tcMar>
              <w:top w:w="70" w:type="dxa"/>
              <w:bottom w:w="70" w:type="dxa"/>
              <w:left w:w="90" w:type="dxa"/>
              <w:right w:w="90" w:type="dxa"/>
            </w:tcMar>
          </w:tcPr>
          <w:p>
            <w:pPr>
              <w:spacing w:line="276" w:lineRule="auto"/>
            </w:pPr>
            <w:r>
              <w:rPr>
                <w:rFonts w:ascii="Segoe UI" w:hAnsi="Segoe UI"/>
                <w:color w:val="334155"/>
                <w:sz w:val="17"/>
              </w:rPr>
              <w:t>Registered version number of the model entity (or '1' for external foundation routes).</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status_code</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INT</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HTTP response status code returned to client (e.g., 200 for OK, 429 for Rate Limit, 500 for Failure).</w:t>
            </w:r>
          </w:p>
        </w:tc>
      </w:tr>
      <w:tr>
        <w:tc>
          <w:tcPr>
            <w:tcW w:type="dxa" w:w="3216"/>
            <w:shd w:fill="F8FAFC"/>
            <w:tcMar>
              <w:top w:w="70" w:type="dxa"/>
              <w:bottom w:w="70" w:type="dxa"/>
              <w:left w:w="90" w:type="dxa"/>
              <w:right w:w="90" w:type="dxa"/>
            </w:tcMar>
          </w:tcPr>
          <w:p>
            <w:pPr>
              <w:spacing w:line="276" w:lineRule="auto"/>
            </w:pPr>
            <w:r>
              <w:rPr>
                <w:rFonts w:ascii="Segoe UI" w:hAnsi="Segoe UI"/>
                <w:b/>
                <w:color w:val="0F172A"/>
                <w:sz w:val="17"/>
              </w:rPr>
              <w:t>execution_time_ms</w:t>
            </w:r>
          </w:p>
        </w:tc>
        <w:tc>
          <w:tcPr>
            <w:tcW w:type="dxa" w:w="3216"/>
            <w:shd w:fill="F8FAFC"/>
            <w:tcMar>
              <w:top w:w="70" w:type="dxa"/>
              <w:bottom w:w="70" w:type="dxa"/>
              <w:left w:w="90" w:type="dxa"/>
              <w:right w:w="90" w:type="dxa"/>
            </w:tcMar>
          </w:tcPr>
          <w:p>
            <w:pPr>
              <w:spacing w:line="276" w:lineRule="auto"/>
            </w:pPr>
            <w:r>
              <w:rPr>
                <w:rFonts w:ascii="Segoe UI" w:hAnsi="Segoe UI"/>
                <w:color w:val="EA580C"/>
                <w:sz w:val="17"/>
              </w:rPr>
              <w:t>DOUBLE</w:t>
            </w:r>
          </w:p>
        </w:tc>
        <w:tc>
          <w:tcPr>
            <w:tcW w:type="dxa" w:w="3216"/>
            <w:shd w:fill="F8FAFC"/>
            <w:tcMar>
              <w:top w:w="70" w:type="dxa"/>
              <w:bottom w:w="70" w:type="dxa"/>
              <w:left w:w="90" w:type="dxa"/>
              <w:right w:w="90" w:type="dxa"/>
            </w:tcMar>
          </w:tcPr>
          <w:p>
            <w:pPr>
              <w:spacing w:line="276" w:lineRule="auto"/>
            </w:pPr>
            <w:r>
              <w:rPr>
                <w:rFonts w:ascii="Segoe UI" w:hAnsi="Segoe UI"/>
                <w:color w:val="334155"/>
                <w:sz w:val="17"/>
              </w:rPr>
              <w:t>Total model compute &amp; network execution time in milliseconds inside the serving container.</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request_id</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Unique UUID per request for end-to-end distributed tracing and deduplication.</w:t>
            </w:r>
          </w:p>
        </w:tc>
      </w:tr>
      <w:tr>
        <w:tc>
          <w:tcPr>
            <w:tcW w:type="dxa" w:w="3216"/>
            <w:shd w:fill="F8FAFC"/>
            <w:tcMar>
              <w:top w:w="70" w:type="dxa"/>
              <w:bottom w:w="70" w:type="dxa"/>
              <w:left w:w="90" w:type="dxa"/>
              <w:right w:w="90" w:type="dxa"/>
            </w:tcMar>
          </w:tcPr>
          <w:p>
            <w:pPr>
              <w:spacing w:line="276" w:lineRule="auto"/>
            </w:pPr>
            <w:r>
              <w:rPr>
                <w:rFonts w:ascii="Segoe UI" w:hAnsi="Segoe UI"/>
                <w:b/>
                <w:color w:val="0F172A"/>
                <w:sz w:val="17"/>
              </w:rPr>
              <w:t>request</w:t>
            </w:r>
          </w:p>
        </w:tc>
        <w:tc>
          <w:tcPr>
            <w:tcW w:type="dxa" w:w="3216"/>
            <w:shd w:fill="F8FAFC"/>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8FAFC"/>
            <w:tcMar>
              <w:top w:w="70" w:type="dxa"/>
              <w:bottom w:w="70" w:type="dxa"/>
              <w:left w:w="90" w:type="dxa"/>
              <w:right w:w="90" w:type="dxa"/>
            </w:tcMar>
          </w:tcPr>
          <w:p>
            <w:pPr>
              <w:spacing w:line="276" w:lineRule="auto"/>
            </w:pPr>
            <w:r>
              <w:rPr>
                <w:rFonts w:ascii="Segoe UI" w:hAnsi="Segoe UI"/>
                <w:color w:val="334155"/>
                <w:sz w:val="17"/>
              </w:rPr>
              <w:t>Raw JSON payload: prompt messages, temperature, max_tokens, stop sequences.</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response</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Raw JSON completion: choices, model outputs, and provider metadata.</w:t>
            </w:r>
          </w:p>
        </w:tc>
      </w:tr>
      <w:tr>
        <w:tc>
          <w:tcPr>
            <w:tcW w:type="dxa" w:w="3216"/>
            <w:shd w:fill="F8FAFC"/>
            <w:tcMar>
              <w:top w:w="70" w:type="dxa"/>
              <w:bottom w:w="70" w:type="dxa"/>
              <w:left w:w="90" w:type="dxa"/>
              <w:right w:w="90" w:type="dxa"/>
            </w:tcMar>
          </w:tcPr>
          <w:p>
            <w:pPr>
              <w:spacing w:line="276" w:lineRule="auto"/>
            </w:pPr>
            <w:r>
              <w:rPr>
                <w:rFonts w:ascii="Segoe UI" w:hAnsi="Segoe UI"/>
                <w:b/>
                <w:color w:val="0F172A"/>
                <w:sz w:val="17"/>
              </w:rPr>
              <w:t>sampling_fraction</w:t>
            </w:r>
          </w:p>
        </w:tc>
        <w:tc>
          <w:tcPr>
            <w:tcW w:type="dxa" w:w="3216"/>
            <w:shd w:fill="F8FAFC"/>
            <w:tcMar>
              <w:top w:w="70" w:type="dxa"/>
              <w:bottom w:w="70" w:type="dxa"/>
              <w:left w:w="90" w:type="dxa"/>
              <w:right w:w="90" w:type="dxa"/>
            </w:tcMar>
          </w:tcPr>
          <w:p>
            <w:pPr>
              <w:spacing w:line="276" w:lineRule="auto"/>
            </w:pPr>
            <w:r>
              <w:rPr>
                <w:rFonts w:ascii="Segoe UI" w:hAnsi="Segoe UI"/>
                <w:color w:val="EA580C"/>
                <w:sz w:val="17"/>
              </w:rPr>
              <w:t>DOUBLE</w:t>
            </w:r>
          </w:p>
        </w:tc>
        <w:tc>
          <w:tcPr>
            <w:tcW w:type="dxa" w:w="3216"/>
            <w:shd w:fill="F8FAFC"/>
            <w:tcMar>
              <w:top w:w="70" w:type="dxa"/>
              <w:bottom w:w="70" w:type="dxa"/>
              <w:left w:w="90" w:type="dxa"/>
              <w:right w:w="90" w:type="dxa"/>
            </w:tcMar>
          </w:tcPr>
          <w:p>
            <w:pPr>
              <w:spacing w:line="276" w:lineRule="auto"/>
            </w:pPr>
            <w:r>
              <w:rPr>
                <w:rFonts w:ascii="Segoe UI" w:hAnsi="Segoe UI"/>
                <w:color w:val="334155"/>
                <w:sz w:val="17"/>
              </w:rPr>
              <w:t>Configured logging sample rate (default is 1.0 for 100% full capture).</w:t>
            </w:r>
          </w:p>
        </w:tc>
      </w:tr>
      <w:tr>
        <w:tc>
          <w:tcPr>
            <w:tcW w:type="dxa" w:w="3216"/>
            <w:shd w:fill="FFFFFF"/>
            <w:tcMar>
              <w:top w:w="70" w:type="dxa"/>
              <w:bottom w:w="70" w:type="dxa"/>
              <w:left w:w="90" w:type="dxa"/>
              <w:right w:w="90" w:type="dxa"/>
            </w:tcMar>
          </w:tcPr>
          <w:p>
            <w:pPr>
              <w:spacing w:line="276" w:lineRule="auto"/>
            </w:pPr>
            <w:r>
              <w:rPr>
                <w:rFonts w:ascii="Segoe UI" w:hAnsi="Segoe UI"/>
                <w:b/>
                <w:color w:val="0F172A"/>
                <w:sz w:val="17"/>
              </w:rPr>
              <w:t>client_request_id</w:t>
            </w:r>
          </w:p>
        </w:tc>
        <w:tc>
          <w:tcPr>
            <w:tcW w:type="dxa" w:w="3216"/>
            <w:shd w:fill="FFFFFF"/>
            <w:tcMar>
              <w:top w:w="70" w:type="dxa"/>
              <w:bottom w:w="70" w:type="dxa"/>
              <w:left w:w="90" w:type="dxa"/>
              <w:right w:w="90" w:type="dxa"/>
            </w:tcMar>
          </w:tcPr>
          <w:p>
            <w:pPr>
              <w:spacing w:line="276" w:lineRule="auto"/>
            </w:pPr>
            <w:r>
              <w:rPr>
                <w:rFonts w:ascii="Segoe UI" w:hAnsi="Segoe UI"/>
                <w:color w:val="EA580C"/>
                <w:sz w:val="17"/>
              </w:rPr>
              <w:t>STRING</w:t>
            </w:r>
          </w:p>
        </w:tc>
        <w:tc>
          <w:tcPr>
            <w:tcW w:type="dxa" w:w="3216"/>
            <w:shd w:fill="FFFFFF"/>
            <w:tcMar>
              <w:top w:w="70" w:type="dxa"/>
              <w:bottom w:w="70" w:type="dxa"/>
              <w:left w:w="90" w:type="dxa"/>
              <w:right w:w="90" w:type="dxa"/>
            </w:tcMar>
          </w:tcPr>
          <w:p>
            <w:pPr>
              <w:spacing w:line="276" w:lineRule="auto"/>
            </w:pPr>
            <w:r>
              <w:rPr>
                <w:rFonts w:ascii="Segoe UI" w:hAnsi="Segoe UI"/>
                <w:color w:val="334155"/>
                <w:sz w:val="17"/>
              </w:rPr>
              <w:t>Custom client-supplied tracing header (passed via HTTP header X-Request-Id).</w:t>
            </w:r>
          </w:p>
        </w:tc>
      </w:tr>
    </w:tbl>
    <w:p>
      <w:pPr>
        <w:spacing w:before="40" w:after="40"/>
      </w:pPr>
    </w:p>
    <w:p>
      <w:pPr>
        <w:spacing w:before="0" w:after="120" w:line="288" w:lineRule="auto"/>
      </w:pPr>
      <w:r>
        <w:rPr>
          <w:rFonts w:ascii="Segoe UI" w:hAnsi="Segoe UI"/>
          <w:b/>
          <w:color w:val="0F172A"/>
          <w:sz w:val="21"/>
        </w:rPr>
        <w:t xml:space="preserve">Querying Raw JSON for Tokens and Latency: </w:t>
      </w:r>
      <w:r>
        <w:rPr>
          <w:rFonts w:ascii="Segoe UI" w:hAnsi="Segoe UI"/>
          <w:color w:val="334155"/>
          <w:sz w:val="21"/>
        </w:rPr>
        <w:t>Because the raw payloads are stored as JSON strings, you unpack token usage, prompt text, and response latency using native Databricks SQL path expressions. This provides both operational telemetry and token-level cost attribution:</w:t>
      </w:r>
    </w:p>
    <w:p>
      <w:pPr>
        <w:spacing w:before="120" w:after="40"/>
      </w:pPr>
      <w:r>
        <w:rPr>
          <w:rFonts w:ascii="Segoe UI" w:hAnsi="Segoe UI"/>
          <w:i/>
          <w:color w:val="64748B"/>
          <w:sz w:val="18"/>
        </w:rPr>
        <w:t>SQL query extracting prompts, completions, and token metrics from Inference Tables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SELECT</w:t>
              <w:br/>
              <w:t xml:space="preserve">    FROM_UNIXTIME(timestamp_ms / 1000) AS request_time,</w:t>
              <w:br/>
              <w:t xml:space="preserve">    served_entity_name,</w:t>
              <w:br/>
              <w:t xml:space="preserve">    status_code,</w:t>
              <w:br/>
              <w:t xml:space="preserve">    execution_time_ms,</w:t>
              <w:br/>
              <w:t xml:space="preserve">    -- Extracting prompt &amp; completion strings</w:t>
              <w:br/>
              <w:t xml:space="preserve">    request:messages[0]:content::string AS user_prompt,</w:t>
              <w:br/>
              <w:t xml:space="preserve">    response:choices[0]:message:content::string AS model_response,</w:t>
              <w:br/>
              <w:t xml:space="preserve">    -- Extracting usage tokens for cost monitoring</w:t>
              <w:br/>
              <w:t xml:space="preserve">    response:usage:prompt_tokens::int AS input_tokens,</w:t>
              <w:br/>
              <w:t xml:space="preserve">    response:usage:completion_tokens::int AS output_tokens,</w:t>
              <w:br/>
              <w:t xml:space="preserve">    response:usage:total_tokens::int AS total_tokens</w:t>
              <w:br/>
              <w:t>FROM catalog.schema.enterprise_gateway_payload</w:t>
              <w:br/>
              <w:t>WHERE date &gt;= CURRENT_DATE() - INTERVAL 7 DAYS</w:t>
              <w:br/>
              <w:t xml:space="preserve">  AND status_code = 200;</w:t>
            </w:r>
          </w:p>
        </w:tc>
      </w:tr>
    </w:tbl>
    <w:p>
      <w:pPr>
        <w:spacing w:before="0" w:after="80"/>
      </w:pPr>
    </w:p>
    <w:p>
      <w:pPr>
        <w:pStyle w:val="Heading1"/>
        <w:spacing w:before="280" w:after="80"/>
      </w:pPr>
      <w:r>
        <w:rPr>
          <w:rFonts w:ascii="Segoe UI" w:hAnsi="Segoe UI"/>
          <w:b/>
          <w:color w:val="0F172A"/>
          <w:sz w:val="28"/>
        </w:rPr>
        <w:t>3. Strategic Cost-Saving Matrix</w:t>
      </w:r>
    </w:p>
    <w:tbl>
      <w:tblPr>
        <w:tblW w:type="auto" w:w="0"/>
        <w:jc w:val="center"/>
        <w:tblLayout w:type="fixed"/>
        <w:tblLook w:firstColumn="1" w:firstRow="1" w:lastColumn="0" w:lastRow="0" w:noHBand="0" w:noVBand="1" w:val="04A0"/>
      </w:tblPr>
      <w:tblGrid>
        <w:gridCol w:w="2592"/>
        <w:gridCol w:w="3744"/>
        <w:gridCol w:w="3312"/>
      </w:tblGrid>
      <w:tr>
        <w:tc>
          <w:tcPr>
            <w:tcW w:type="dxa" w:w="3216"/>
            <w:shd w:fill="0F172A"/>
            <w:tcMar>
              <w:top w:w="80" w:type="dxa"/>
              <w:bottom w:w="80" w:type="dxa"/>
              <w:left w:w="100" w:type="dxa"/>
              <w:right w:w="100" w:type="dxa"/>
            </w:tcMar>
          </w:tcPr>
          <w:p>
            <w:r>
              <w:rPr>
                <w:rFonts w:ascii="Segoe UI" w:hAnsi="Segoe UI"/>
                <w:b/>
                <w:color w:val="FFFFFF"/>
                <w:sz w:val="19"/>
              </w:rPr>
              <w:t>Strategy &amp; Mechanism</w:t>
            </w:r>
          </w:p>
        </w:tc>
        <w:tc>
          <w:tcPr>
            <w:tcW w:type="dxa" w:w="3216"/>
            <w:shd w:fill="0F172A"/>
            <w:tcMar>
              <w:top w:w="80" w:type="dxa"/>
              <w:bottom w:w="80" w:type="dxa"/>
              <w:left w:w="100" w:type="dxa"/>
              <w:right w:w="100" w:type="dxa"/>
            </w:tcMar>
          </w:tcPr>
          <w:p>
            <w:r>
              <w:rPr>
                <w:rFonts w:ascii="Segoe UI" w:hAnsi="Segoe UI"/>
                <w:b/>
                <w:color w:val="FFFFFF"/>
                <w:sz w:val="19"/>
              </w:rPr>
              <w:t>AWS &amp; Databricks Technical Details</w:t>
            </w:r>
          </w:p>
        </w:tc>
        <w:tc>
          <w:tcPr>
            <w:tcW w:type="dxa" w:w="3216"/>
            <w:shd w:fill="0F172A"/>
            <w:tcMar>
              <w:top w:w="80" w:type="dxa"/>
              <w:bottom w:w="80" w:type="dxa"/>
              <w:left w:w="100" w:type="dxa"/>
              <w:right w:w="100" w:type="dxa"/>
            </w:tcMar>
          </w:tcPr>
          <w:p>
            <w:r>
              <w:rPr>
                <w:rFonts w:ascii="Segoe UI" w:hAnsi="Segoe UI"/>
                <w:b/>
                <w:color w:val="FFFFFF"/>
                <w:sz w:val="19"/>
              </w:rPr>
              <w:t>Recommended Production Target</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Rate Limiting &amp; Token Caps</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Configures QPM and TPM rate limits in AI Gateway. Cuts off agent infinite loops at HTTP 429.</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All multi-tenant endpoints and autonomous agentic workflows.</w:t>
            </w:r>
          </w:p>
        </w:tc>
      </w:tr>
      <w:tr>
        <w:tc>
          <w:tcPr>
            <w:tcW w:type="dxa" w:w="3216"/>
            <w:shd w:fill="F8FAFC"/>
            <w:tcMar>
              <w:top w:w="80" w:type="dxa"/>
              <w:bottom w:w="80" w:type="dxa"/>
              <w:left w:w="100" w:type="dxa"/>
              <w:right w:w="100" w:type="dxa"/>
            </w:tcMar>
          </w:tcPr>
          <w:p>
            <w:pPr>
              <w:spacing w:line="276" w:lineRule="auto"/>
            </w:pPr>
            <w:r>
              <w:rPr>
                <w:rFonts w:ascii="Segoe UI" w:hAnsi="Segoe UI"/>
                <w:b/>
                <w:color w:val="0F172A"/>
                <w:sz w:val="18"/>
              </w:rPr>
              <w:t>Scale-to-Zero &amp; Min Concurrency</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De-allocates AWS EC2 instances after 20 mins of inactivity. Use min_concurrency=1 for SLA apps.</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Scale-to-zero for Dev/QA; min_concurrency=1 for low-latency client-facing APIs.</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Pay-Per-Token vs. Provisioned</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Pay-per-token Foundation APIs vs. dedicated provisioned throughput (concurrency-locked instances).</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Pay-per-token for bursty/ad-hoc tasks; provisioned only when steady volume exceeds ~150 QPS.</w:t>
            </w:r>
          </w:p>
        </w:tc>
      </w:tr>
      <w:tr>
        <w:tc>
          <w:tcPr>
            <w:tcW w:type="dxa" w:w="3216"/>
            <w:shd w:fill="F8FAFC"/>
            <w:tcMar>
              <w:top w:w="80" w:type="dxa"/>
              <w:bottom w:w="80" w:type="dxa"/>
              <w:left w:w="100" w:type="dxa"/>
              <w:right w:w="100" w:type="dxa"/>
            </w:tcMar>
          </w:tcPr>
          <w:p>
            <w:pPr>
              <w:spacing w:line="276" w:lineRule="auto"/>
            </w:pPr>
            <w:r>
              <w:rPr>
                <w:rFonts w:ascii="Segoe UI" w:hAnsi="Segoe UI"/>
                <w:b/>
                <w:color w:val="0F172A"/>
                <w:sz w:val="18"/>
              </w:rPr>
              <w:t>Small Language Model (SLM) Downgrade</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Routes classification, schema validation, and routing tasks to Llama 3.1 8B or Haiku.</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Upfront pipeline steps where using 70B+ frontier models wastes 80-90% of token spend.</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Prompt Prefix Caching</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Static prompt prefixes (system instructions, documents) reused across calls get 50-90% discount.</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RAG pipelines, fixed customer support contexts, and structured schema parsers.</w:t>
            </w:r>
          </w:p>
        </w:tc>
      </w:tr>
      <w:tr>
        <w:tc>
          <w:tcPr>
            <w:tcW w:type="dxa" w:w="3216"/>
            <w:shd w:fill="F8FAFC"/>
            <w:tcMar>
              <w:top w:w="80" w:type="dxa"/>
              <w:bottom w:w="80" w:type="dxa"/>
              <w:left w:w="100" w:type="dxa"/>
              <w:right w:w="100" w:type="dxa"/>
            </w:tcMar>
          </w:tcPr>
          <w:p>
            <w:pPr>
              <w:spacing w:line="276" w:lineRule="auto"/>
            </w:pPr>
            <w:r>
              <w:rPr>
                <w:rFonts w:ascii="Segoe UI" w:hAnsi="Segoe UI"/>
                <w:b/>
                <w:color w:val="0F172A"/>
                <w:sz w:val="18"/>
              </w:rPr>
              <w:t>Semantic Caching (Vector Search)</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Returns pre-computed responses for semantically identical queries without calling the LLM.</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High-volume repetitive queries (FAQ bots, documentation copilots). Bills 0 tokens.</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Jobs Compute for Offline Batch (ai_query)</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Executes inference in batch PySpark jobs instead of invoking real-time Model Serving endpoints.</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Historical backfills, bulk sentiment analysis, offline feature generation. Costs ~$0.15 vs ~$0.55/DBU.</w:t>
            </w:r>
          </w:p>
        </w:tc>
      </w:tr>
    </w:tbl>
    <w:p>
      <w:pPr>
        <w:spacing w:before="40" w:after="40"/>
      </w:pPr>
    </w:p>
    <w:p>
      <w:pPr>
        <w:pStyle w:val="Heading1"/>
        <w:spacing w:before="280" w:after="80"/>
      </w:pPr>
      <w:r>
        <w:rPr>
          <w:rFonts w:ascii="Segoe UI" w:hAnsi="Segoe UI"/>
          <w:b/>
          <w:color w:val="0F172A"/>
          <w:sz w:val="28"/>
        </w:rPr>
        <w:t>4. Practical Engineering Implementations</w:t>
      </w:r>
    </w:p>
    <w:p>
      <w:pPr>
        <w:spacing w:before="0" w:after="120" w:line="288" w:lineRule="auto"/>
      </w:pPr>
      <w:r>
        <w:rPr>
          <w:rFonts w:ascii="Segoe UI" w:hAnsi="Segoe UI"/>
          <w:b/>
          <w:color w:val="0F172A"/>
          <w:sz w:val="21"/>
        </w:rPr>
        <w:t xml:space="preserve">4.1 Gateway Authentication &amp; AWS Secrets Management: </w:t>
      </w:r>
      <w:r>
        <w:rPr>
          <w:rFonts w:ascii="Segoe UI" w:hAnsi="Segoe UI"/>
          <w:color w:val="334155"/>
          <w:sz w:val="21"/>
        </w:rPr>
        <w:t>Never hardcode external LLM API tokens in plain text. Store keys in Databricks Secret Scopes backed by AWS Secrets Manager or KMS-encrypted Databricks scopes. Client applications authenticate via Databricks Service Principals using OAuth 2.0 M2M tokens:</w:t>
      </w:r>
    </w:p>
    <w:p>
      <w:pPr>
        <w:spacing w:before="120" w:after="40"/>
      </w:pPr>
      <w:r>
        <w:rPr>
          <w:rFonts w:ascii="Segoe UI" w:hAnsi="Segoe UI"/>
          <w:i/>
          <w:color w:val="64748B"/>
          <w:sz w:val="18"/>
        </w:rPr>
        <w:t>Secret scope storage and dynamic reference</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 1. Create a Databricks Secret Scope backed by AWS Secrets Manager or Databricks KMS</w:t>
              <w:br/>
              <w:t>databricks secrets create-scope my-ai-secrets</w:t>
              <w:br/>
              <w:br/>
              <w:t># 2. Store your external provider API key securely</w:t>
              <w:br/>
              <w:t>databricks secrets put-secret my-ai-secrets anthropic-api-key --string-value "sk-ant-api03-..."</w:t>
              <w:br/>
              <w:br/>
              <w:t># 3. Dynamic reference in Model Serving / AI Gateway endpoint definitions:</w:t>
              <w:br/>
              <w:t># external_model:</w:t>
              <w:br/>
              <w:t>#   provider: "anthropic"</w:t>
              <w:br/>
              <w:t>#   anthropic_config:</w:t>
              <w:br/>
              <w:t>#     anthropic_api_key: "{{secrets/my-ai-secrets/anthropic-api-key}}</w:t>
            </w:r>
          </w:p>
        </w:tc>
      </w:tr>
    </w:tbl>
    <w:p>
      <w:pPr>
        <w:spacing w:before="0" w:after="80"/>
      </w:pPr>
    </w:p>
    <w:p>
      <w:pPr>
        <w:spacing w:before="0" w:after="120" w:line="288" w:lineRule="auto"/>
      </w:pPr>
      <w:r>
        <w:rPr>
          <w:rFonts w:ascii="Segoe UI" w:hAnsi="Segoe UI"/>
          <w:b/>
          <w:color w:val="0F172A"/>
          <w:sz w:val="21"/>
        </w:rPr>
        <w:t xml:space="preserve">4.2 Rate Limiting and Cold-Start Mitigation: </w:t>
      </w:r>
      <w:r>
        <w:rPr>
          <w:rFonts w:ascii="Segoe UI" w:hAnsi="Segoe UI"/>
          <w:color w:val="334155"/>
          <w:sz w:val="21"/>
        </w:rPr>
        <w:t>When provisioning serving endpoints, define both call rate caps and token rate caps. For self-hosted models, choose deliberately whether scale-to-zero is acceptable or if you require min_provisioned_concurrency to eliminate cold starts:</w:t>
      </w:r>
    </w:p>
    <w:p>
      <w:pPr>
        <w:spacing w:before="120" w:after="40"/>
      </w:pPr>
      <w:r>
        <w:rPr>
          <w:rFonts w:ascii="Segoe UI" w:hAnsi="Segoe UI"/>
          <w:i/>
          <w:color w:val="64748B"/>
          <w:sz w:val="18"/>
        </w:rPr>
        <w:t>Endpoint configuration with AI Gateway guardrails and concurrency locks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w:t>
              <w:br/>
              <w:t xml:space="preserve">  "name": "enterprise-llm-gateway",</w:t>
              <w:br/>
              <w:t xml:space="preserve">  "ai_gateway": {</w:t>
              <w:br/>
              <w:t xml:space="preserve">    "rate_limits": [</w:t>
              <w:br/>
              <w:t xml:space="preserve">      { "key": "user", "renewal_period": "minute", "calls": 60 },</w:t>
              <w:br/>
              <w:t xml:space="preserve">      { "key": "user", "renewal_period": "minute", "tokens": 50000 },</w:t>
              <w:br/>
              <w:t xml:space="preserve">      { "key": "endpoint", "renewal_period": "minute", "calls": 1200 }</w:t>
              <w:br/>
              <w:t xml:space="preserve">    ],</w:t>
              <w:br/>
              <w:t xml:space="preserve">    "guardrails": {</w:t>
              <w:br/>
              <w:t xml:space="preserve">      "input": { "pii": { "behavior": "block" }, "safety": { "behavior": "block" } }</w:t>
              <w:br/>
              <w:t xml:space="preserve">    }</w:t>
              <w:br/>
              <w:t xml:space="preserve">  },</w:t>
              <w:br/>
              <w:t xml:space="preserve">  "config": {</w:t>
              <w:br/>
              <w:t xml:space="preserve">    "served_entities": [</w:t>
              <w:br/>
              <w:t xml:space="preserve">      {</w:t>
              <w:br/>
              <w:t xml:space="preserve">        "name": "primary-model",</w:t>
              <w:br/>
              <w:t xml:space="preserve">        "entity_name": "prod_catalog.ai_models.custom_rag_llm",</w:t>
              <w:br/>
              <w:t xml:space="preserve">        "entity_version": "1",</w:t>
              <w:br/>
              <w:t xml:space="preserve">        "workload_size": "Small",</w:t>
              <w:br/>
              <w:t xml:space="preserve">        "scale_to_zero_enabled": false,</w:t>
              <w:br/>
              <w:t xml:space="preserve">        "min_provisioned_concurrency": 1</w:t>
              <w:br/>
              <w:t xml:space="preserve">      }</w:t>
              <w:br/>
              <w:t xml:space="preserve">    ]</w:t>
              <w:br/>
              <w:t xml:space="preserve">  }</w:t>
              <w:br/>
              <w:t>}</w:t>
            </w:r>
          </w:p>
        </w:tc>
      </w:tr>
    </w:tbl>
    <w:p>
      <w:pPr>
        <w:spacing w:before="0" w:after="80"/>
      </w:pPr>
    </w:p>
    <w:p>
      <w:pPr>
        <w:spacing w:before="0" w:after="120" w:line="288" w:lineRule="auto"/>
      </w:pPr>
      <w:r>
        <w:rPr>
          <w:rFonts w:ascii="Segoe UI" w:hAnsi="Segoe UI"/>
          <w:b/>
          <w:color w:val="0F172A"/>
          <w:sz w:val="21"/>
        </w:rPr>
        <w:t xml:space="preserve">4.3 Billing Telemetry via Databricks SQL: </w:t>
      </w:r>
      <w:r>
        <w:rPr>
          <w:rFonts w:ascii="Segoe UI" w:hAnsi="Segoe UI"/>
          <w:color w:val="334155"/>
          <w:sz w:val="21"/>
        </w:rPr>
        <w:t>Model Serving consumption is tracked in Databricks system tables. By attaching AWS-aligned cost tags (such as Environment, CostCenter, ProjectID), you can query exact daily consumption and correlate DBUs with AWS CUR (Cost &amp; Usage Report):</w:t>
      </w:r>
    </w:p>
    <w:p>
      <w:pPr>
        <w:spacing w:before="120" w:after="40"/>
      </w:pPr>
      <w:r>
        <w:rPr>
          <w:rFonts w:ascii="Segoe UI" w:hAnsi="Segoe UI"/>
          <w:i/>
          <w:color w:val="64748B"/>
          <w:sz w:val="18"/>
        </w:rPr>
        <w:t>Databricks SQL query for multi-tenant AWS chargeback tracking</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 xml:space="preserve">SELECT </w:t>
              <w:br/>
              <w:t xml:space="preserve">    usage_date,</w:t>
              <w:br/>
              <w:t xml:space="preserve">    custom_tags['cost_center'] AS aws_cost_center,</w:t>
              <w:br/>
              <w:t xml:space="preserve">    custom_tags['environment'] AS deployment_env,</w:t>
              <w:br/>
              <w:t xml:space="preserve">    usage_metadata.endpoint_name AS serving_endpoint,</w:t>
              <w:br/>
              <w:t xml:space="preserve">    SUM(usage_quantity) AS total_dbus_consumed,</w:t>
              <w:br/>
              <w:t xml:space="preserve">    ROUND(SUM(usage_quantity) * 0.55, 2) AS estimated_dbu_cost_usd</w:t>
              <w:br/>
              <w:t>FROM system.billing.usage</w:t>
              <w:br/>
              <w:t>WHERE billing_origin_product = 'MODEL_SERVING'</w:t>
              <w:br/>
              <w:t xml:space="preserve">  AND usage_date &gt;= CURRENT_DATE() - INTERVAL 30 DAYS</w:t>
              <w:br/>
              <w:t>GROUP BY 1, 2, 3, 4</w:t>
              <w:br/>
              <w:t>ORDER BY total_dbus_consumed DESC;</w:t>
            </w:r>
          </w:p>
        </w:tc>
      </w:tr>
    </w:tbl>
    <w:p>
      <w:pPr>
        <w:spacing w:before="0" w:after="80"/>
      </w:pPr>
    </w:p>
    <w:p>
      <w:pPr>
        <w:pStyle w:val="Heading1"/>
        <w:spacing w:before="280" w:after="80"/>
      </w:pPr>
      <w:r>
        <w:rPr>
          <w:rFonts w:ascii="Segoe UI" w:hAnsi="Segoe UI"/>
          <w:b/>
          <w:color w:val="0F172A"/>
          <w:sz w:val="28"/>
        </w:rPr>
        <w:t>5. Infrastructure-as-Code: Databricks Asset Bundles (DABs) on AWS</w:t>
      </w:r>
    </w:p>
    <w:p>
      <w:pPr>
        <w:spacing w:before="0" w:after="120" w:line="288" w:lineRule="auto"/>
      </w:pPr>
      <w:r>
        <w:rPr>
          <w:rFonts w:ascii="Segoe UI" w:hAnsi="Segoe UI"/>
          <w:color w:val="334155"/>
          <w:sz w:val="21"/>
        </w:rPr>
        <w:t>To automate endpoint deployments across dev, staging, and prod AWS accounts, use Databricks Asset Bundles (DABs). This guarantees that tags, rate limits, compute workload sizes, and secrets are managed in version control.</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Standard DAB Directory Layout</w:t>
              <w:br/>
            </w:r>
            <w:r>
              <w:rPr>
                <w:rFonts w:ascii="Segoe UI" w:hAnsi="Segoe UI"/>
                <w:color w:val="334155"/>
                <w:sz w:val="19"/>
              </w:rPr>
              <w:t>ai-gateway-aws-bundle/</w:t>
              <w:br/>
              <w:t>├── databricks.yml                     # Multi-target AWS workspace definitions &amp; IAM SPs</w:t>
              <w:br/>
              <w:t>└── resources/</w:t>
              <w:br/>
              <w:t xml:space="preserve">    ├── serving_endpoints.yml          # AI Gateway endpoints &amp; served entities</w:t>
              <w:br/>
              <w:t xml:space="preserve">    └── model_evaluation_pipeline.yml  # Pre-promotion Mosaic AI Agent evaluation job</w:t>
            </w:r>
          </w:p>
        </w:tc>
      </w:tr>
    </w:tbl>
    <w:p>
      <w:pPr>
        <w:spacing w:before="0" w:after="80"/>
      </w:pPr>
    </w:p>
    <w:p>
      <w:pPr>
        <w:spacing w:before="0" w:after="120" w:line="288" w:lineRule="auto"/>
      </w:pPr>
      <w:r>
        <w:rPr>
          <w:rFonts w:ascii="Segoe UI" w:hAnsi="Segoe UI"/>
          <w:b/>
          <w:color w:val="0F172A"/>
          <w:sz w:val="21"/>
        </w:rPr>
        <w:t xml:space="preserve">databricks.yml: </w:t>
      </w:r>
      <w:r>
        <w:rPr>
          <w:rFonts w:ascii="Segoe UI" w:hAnsi="Segoe UI"/>
          <w:color w:val="334155"/>
          <w:sz w:val="21"/>
        </w:rPr>
        <w:t>The main bundle configuration defines target AWS workspaces, service principals, and bundle variables:</w:t>
      </w:r>
    </w:p>
    <w:p>
      <w:pPr>
        <w:spacing w:before="120" w:after="40"/>
      </w:pPr>
      <w:r>
        <w:rPr>
          <w:rFonts w:ascii="Segoe UI" w:hAnsi="Segoe UI"/>
          <w:i/>
          <w:color w:val="64748B"/>
          <w:sz w:val="18"/>
        </w:rPr>
        <w:t>databricks.yml for AWS multi-environment deployments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bundle:</w:t>
              <w:br/>
              <w:t xml:space="preserve">  name: databricks-ai-gateway-aws</w:t>
              <w:br/>
              <w:br/>
              <w:t>include:</w:t>
              <w:br/>
              <w:t xml:space="preserve">  - resources/*.yml</w:t>
              <w:br/>
              <w:br/>
              <w:t>variables:</w:t>
              <w:br/>
              <w:t xml:space="preserve">  aws_cost_center:</w:t>
              <w:br/>
              <w:t xml:space="preserve">    description: "AWS Cost Allocation Tag for FinOps Chargebacks"</w:t>
              <w:br/>
              <w:t xml:space="preserve">    default: "finops-ai-workloads"</w:t>
              <w:br/>
              <w:br/>
              <w:t>targets:</w:t>
              <w:br/>
              <w:t xml:space="preserve">  dev:</w:t>
              <w:br/>
              <w:t xml:space="preserve">    mode: development</w:t>
              <w:br/>
              <w:t xml:space="preserve">    default: true</w:t>
              <w:br/>
              <w:t xml:space="preserve">    workspace:</w:t>
              <w:br/>
              <w:t xml:space="preserve">      host: https://dbc-aws-dev-instance.cloud.databricks.com</w:t>
              <w:br/>
              <w:t xml:space="preserve">    variables:</w:t>
              <w:br/>
              <w:t xml:space="preserve">      environment: dev</w:t>
              <w:br/>
              <w:br/>
              <w:t xml:space="preserve">  prod:</w:t>
              <w:br/>
              <w:t xml:space="preserve">    mode: production</w:t>
              <w:br/>
              <w:t xml:space="preserve">    workspace:</w:t>
              <w:br/>
              <w:t xml:space="preserve">      host: https://dbc-aws-prod-instance.cloud.databricks.com</w:t>
              <w:br/>
              <w:t xml:space="preserve">    run_as:</w:t>
              <w:br/>
              <w:t xml:space="preserve">      # AWS Databricks OAuth Service Principal Application ID</w:t>
              <w:br/>
              <w:t xml:space="preserve">      service_principal_name: 11111111-2222-3333-4444-555555555555</w:t>
              <w:br/>
              <w:t xml:space="preserve">    variables:</w:t>
              <w:br/>
              <w:t xml:space="preserve">      environment: prod</w:t>
            </w:r>
          </w:p>
        </w:tc>
      </w:tr>
    </w:tbl>
    <w:p>
      <w:pPr>
        <w:spacing w:before="0" w:after="80"/>
      </w:pPr>
    </w:p>
    <w:p>
      <w:pPr>
        <w:spacing w:before="0" w:after="120" w:line="288" w:lineRule="auto"/>
      </w:pPr>
      <w:r>
        <w:rPr>
          <w:rFonts w:ascii="Segoe UI" w:hAnsi="Segoe UI"/>
          <w:b/>
          <w:color w:val="0F172A"/>
          <w:sz w:val="21"/>
        </w:rPr>
        <w:t xml:space="preserve">resources/serving_endpoints.yml: </w:t>
      </w:r>
      <w:r>
        <w:rPr>
          <w:rFonts w:ascii="Segoe UI" w:hAnsi="Segoe UI"/>
          <w:color w:val="334155"/>
          <w:sz w:val="21"/>
        </w:rPr>
        <w:t>The resource definition implements rate limits, fallback routing, and cost tags:</w:t>
      </w:r>
    </w:p>
    <w:p>
      <w:pPr>
        <w:spacing w:before="120" w:after="40"/>
      </w:pPr>
      <w:r>
        <w:rPr>
          <w:rFonts w:ascii="Segoe UI" w:hAnsi="Segoe UI"/>
          <w:i/>
          <w:color w:val="64748B"/>
          <w:sz w:val="18"/>
        </w:rPr>
        <w:t>resources/serving_endpoints.yml defining AI Gateway and self-hosted models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resources:</w:t>
              <w:br/>
              <w:t xml:space="preserve">  model_serving_endpoints:</w:t>
              <w:br/>
              <w:t xml:space="preserve">    # -----------------------------------------------------------------</w:t>
              <w:br/>
              <w:t xml:space="preserve">    # 1. External Frontier LLM Route with AI Gateway &amp; Rate Caps</w:t>
              <w:br/>
              <w:t xml:space="preserve">    # -----------------------------------------------------------------</w:t>
              <w:br/>
              <w:t xml:space="preserve">    aws_llm_gateway:</w:t>
              <w:br/>
              <w:t xml:space="preserve">      name: ${bundle.target}-enterprise-gateway</w:t>
              <w:br/>
              <w:t xml:space="preserve">      tags:</w:t>
              <w:br/>
              <w:t xml:space="preserve">        - key: cost_center</w:t>
              <w:br/>
              <w:t xml:space="preserve">          value: ${var.aws_cost_center}</w:t>
              <w:br/>
              <w:t xml:space="preserve">        - key: environment</w:t>
              <w:br/>
              <w:t xml:space="preserve">          value: ${var.environment}</w:t>
              <w:br/>
              <w:t xml:space="preserve">        - key: cloud_provider</w:t>
              <w:br/>
              <w:t xml:space="preserve">          value: aws</w:t>
              <w:br/>
              <w:t xml:space="preserve">      config:</w:t>
              <w:br/>
              <w:t xml:space="preserve">        served_entities:</w:t>
              <w:br/>
              <w:t xml:space="preserve">          - name: llama-route</w:t>
              <w:br/>
              <w:t xml:space="preserve">            external_model:</w:t>
              <w:br/>
              <w:t xml:space="preserve">              name: databricks-meta-llama-3-3-70b-instruct</w:t>
              <w:br/>
              <w:t xml:space="preserve">              provider: databricks-model-serving</w:t>
              <w:br/>
              <w:t xml:space="preserve">              task: llm/v1/chat</w:t>
              <w:br/>
              <w:t xml:space="preserve">        ai_gateway:</w:t>
              <w:br/>
              <w:t xml:space="preserve">          rate_limits:</w:t>
              <w:br/>
              <w:t xml:space="preserve">            - key: user</w:t>
              <w:br/>
              <w:t xml:space="preserve">              renewal_period: minute</w:t>
              <w:br/>
              <w:t xml:space="preserve">              calls: 60</w:t>
              <w:br/>
              <w:t xml:space="preserve">            - key: user</w:t>
              <w:br/>
              <w:t xml:space="preserve">              renewal_period: minute</w:t>
              <w:br/>
              <w:t xml:space="preserve">              tokens: 45000</w:t>
              <w:br/>
              <w:t xml:space="preserve">            - key: endpoint</w:t>
              <w:br/>
              <w:t xml:space="preserve">              renewal_period: minute</w:t>
              <w:br/>
              <w:t xml:space="preserve">              calls: 1500</w:t>
              <w:br/>
              <w:br/>
              <w:t xml:space="preserve">    # -----------------------------------------------------------------</w:t>
              <w:br/>
              <w:t xml:space="preserve">    # 2. Self-Hosted Custom Embedding / Small Classifier on EC2</w:t>
              <w:br/>
              <w:t xml:space="preserve">    # -----------------------------------------------------------------</w:t>
              <w:br/>
              <w:t xml:space="preserve">    aws_custom_classifier:</w:t>
              <w:br/>
              <w:t xml:space="preserve">      name: ${bundle.target}-custom-bert</w:t>
              <w:br/>
              <w:t xml:space="preserve">      tags:</w:t>
              <w:br/>
              <w:t xml:space="preserve">        - key: cost_center</w:t>
              <w:br/>
              <w:t xml:space="preserve">          value: ${var.aws_cost_center}</w:t>
              <w:br/>
              <w:t xml:space="preserve">        - key: environment</w:t>
              <w:br/>
              <w:t xml:space="preserve">          value: ${var.environment}</w:t>
              <w:br/>
              <w:t xml:space="preserve">      config:</w:t>
              <w:br/>
              <w:t xml:space="preserve">        served_entities:</w:t>
              <w:br/>
              <w:t xml:space="preserve">          - name: bert-classifier-entity</w:t>
              <w:br/>
              <w:t xml:space="preserve">            entity_name: ${bundle.target}_catalog.nlp_schema.custom_bert</w:t>
              <w:br/>
              <w:t xml:space="preserve">            entity_version: "1"</w:t>
              <w:br/>
              <w:t xml:space="preserve">            workload_size: Small</w:t>
              <w:br/>
              <w:t xml:space="preserve">            scale_to_zero_enabled: true</w:t>
            </w:r>
          </w:p>
        </w:tc>
      </w:tr>
    </w:tbl>
    <w:p>
      <w:pPr>
        <w:spacing w:before="0" w:after="80"/>
      </w:pPr>
    </w:p>
    <w:p>
      <w:pPr>
        <w:spacing w:before="0" w:after="120" w:line="288" w:lineRule="auto"/>
      </w:pPr>
      <w:r>
        <w:rPr>
          <w:rFonts w:ascii="Segoe UI" w:hAnsi="Segoe UI"/>
          <w:b/>
          <w:color w:val="0F172A"/>
          <w:sz w:val="21"/>
        </w:rPr>
        <w:t xml:space="preserve">Deployment Workflow: </w:t>
      </w:r>
      <w:r>
        <w:rPr>
          <w:rFonts w:ascii="Segoe UI" w:hAnsi="Segoe UI"/>
          <w:color w:val="334155"/>
          <w:sz w:val="21"/>
        </w:rPr>
        <w:t>Execute deployment through standard Databricks CLI commands:</w:t>
      </w:r>
    </w:p>
    <w:p>
      <w:pPr>
        <w:spacing w:before="120" w:after="40"/>
      </w:pPr>
      <w:r>
        <w:rPr>
          <w:rFonts w:ascii="Segoe UI" w:hAnsi="Segoe UI"/>
          <w:i/>
          <w:color w:val="64748B"/>
          <w:sz w:val="18"/>
        </w:rPr>
        <w:t>Databricks CLI commands for AWS deployment</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 1. Validate DAB template syntax and bundle variables</w:t>
              <w:br/>
              <w:t>databricks bundle validate -t dev</w:t>
              <w:br/>
              <w:br/>
              <w:t># 2. Check deployment dry-run execution plan</w:t>
              <w:br/>
              <w:t>databricks bundle plan -t dev</w:t>
              <w:br/>
              <w:br/>
              <w:t># 3. Deploy to AWS Development Workspace</w:t>
              <w:br/>
              <w:t>databricks bundle deploy -t dev</w:t>
              <w:br/>
              <w:br/>
              <w:t># 4. Deploy to AWS Production Workspace via CI/CD (GitHub Actions / GitLab CI)</w:t>
              <w:br/>
              <w:t>databricks bundle deploy -t prod</w:t>
            </w:r>
          </w:p>
        </w:tc>
      </w:tr>
    </w:tbl>
    <w:p>
      <w:pPr>
        <w:spacing w:before="0" w:after="80"/>
      </w:pPr>
    </w:p>
    <w:p>
      <w:pPr>
        <w:pStyle w:val="Heading1"/>
        <w:spacing w:before="280" w:after="80"/>
      </w:pPr>
      <w:r>
        <w:rPr>
          <w:rFonts w:ascii="Segoe UI" w:hAnsi="Segoe UI"/>
          <w:b/>
          <w:color w:val="0F172A"/>
          <w:sz w:val="28"/>
        </w:rPr>
        <w:t>6. Advanced AWS Architecture &amp; Cost-Saving Field Notes</w:t>
      </w:r>
    </w:p>
    <w:p>
      <w:pPr>
        <w:spacing w:before="0" w:after="120" w:line="288" w:lineRule="auto"/>
      </w:pPr>
      <w:r>
        <w:rPr>
          <w:rFonts w:ascii="Segoe UI" w:hAnsi="Segoe UI"/>
          <w:color w:val="334155"/>
          <w:sz w:val="21"/>
        </w:rPr>
        <w:t>Operating Databricks on AWS introduces distinct architectural levers that don't exist on generic setups. Apply these seven field-tested principles to eliminate cloud waste:</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Enforce Static Prompt Prefix Caching</w:t>
              <w:br/>
            </w:r>
            <w:r>
              <w:rPr>
                <w:rFonts w:ascii="Segoe UI" w:hAnsi="Segoe UI"/>
                <w:color w:val="334155"/>
                <w:sz w:val="19"/>
              </w:rPr>
              <w:t>Input tokens account for up to 80% of costs in document parsing and RAG. External providers and Mosaic Foundation endpoints support prefix caching. Structure prompts so system prompts, schemas, and context remain strictly at the top of the prompt string, with dynamic user inputs at the end. Cached prefix tokens receive a 50% to 90% discount on input rates.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Implement Semantic Caching with Databricks Vector Search</w:t>
              <w:br/>
            </w:r>
            <w:r>
              <w:rPr>
                <w:rFonts w:ascii="Segoe UI" w:hAnsi="Segoe UI"/>
                <w:color w:val="334155"/>
                <w:sz w:val="19"/>
              </w:rPr>
              <w:t>Don't invoke the gateway for questions you answered three minutes ago. Place a lightweight Semantic Cache in front of the gateway using Databricks Vector Search backed by Amazon S3. If query cosine similarity exceeds 0.95, return the cached answer. This cuts latency to &lt;20ms and generates zero token spend.</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Avoid the GPU Default: CPU-First for Non-Generative Tasks</w:t>
              <w:br/>
            </w:r>
            <w:r>
              <w:rPr>
                <w:rFonts w:ascii="Segoe UI" w:hAnsi="Segoe UI"/>
                <w:color w:val="334155"/>
                <w:sz w:val="19"/>
              </w:rPr>
              <w:t>Small transformers, embedding models (bge-small), and classification pipelines rarely need AWS GPU nodes. Deploying on CPU instances (Small or Medium) avoids G5 (A10G) instances (~20 DBUs/hr) and high-end P4de (A100/H100) clusters (~600+ DBUs/hr), reducing compute spend by up to 90%.</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Automate Inference Table Maintenance on Amazon S3</w:t>
              <w:br/>
            </w:r>
            <w:r>
              <w:rPr>
                <w:rFonts w:ascii="Segoe UI" w:hAnsi="Segoe UI"/>
                <w:color w:val="334155"/>
                <w:sz w:val="19"/>
              </w:rPr>
              <w:t>Inference tables capture all JSON payloads into a Delta table on S3. In high-traffic environments, this table balloons into millions of uncompacted JSON files. Schedule a weekly Databricks Job to delete entries older than 30 days and run 'VACUUM catalog.schema.inference_table RETAIN 168 HOURS' to avoid paying perpetual S3 storage fees.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Run Batch Asynchronous Inference via Jobs Compute (ai_query)</w:t>
              <w:br/>
            </w:r>
            <w:r>
              <w:rPr>
                <w:rFonts w:ascii="Segoe UI" w:hAnsi="Segoe UI"/>
                <w:color w:val="334155"/>
                <w:sz w:val="19"/>
              </w:rPr>
              <w:t>Real-time endpoints carry an expensive SLA premium for immediate HTTP latency. If you need to score 500,000 customer reviews or historical records, never loop over a REST endpoint. Use ai_query() inside a Databricks Job running on automated spot instances. Jobs Compute runs at ~$0.15/DBU vs. ~$0.55+/DBU for Model Serving.</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Enforce Strict max_tokens at the Gateway &amp; Client Layer</w:t>
              <w:br/>
            </w:r>
            <w:r>
              <w:rPr>
                <w:rFonts w:ascii="Segoe UI" w:hAnsi="Segoe UI"/>
                <w:color w:val="334155"/>
                <w:sz w:val="19"/>
              </w:rPr>
              <w:t>Frontier models default to 4,096 or 8,192 tokens per completion if max_tokens is unspecified. When an agent experiences a reasoning hallucination or infinite loop, it will consume the entire token window. Force hard client-side boundaries: 50 tokens for classifications and 250 tokens for summaries.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Build an Automated 'Orphan Endpoint Reaper' with AWS EventBridge</w:t>
              <w:br/>
            </w:r>
            <w:r>
              <w:rPr>
                <w:rFonts w:ascii="Segoe UI" w:hAnsi="Segoe UI"/>
                <w:color w:val="334155"/>
                <w:sz w:val="19"/>
              </w:rPr>
              <w:t>Developers often spin up dedicated GPU endpoints for afternoon tests and forget to delete them. Schedule a lightweight Databricks Job or AWS Lambda via EventBridge that inspects system.billing.usage. If an endpoint with scale-to-zero disabled has had zero requests over the past 7 days, automatically delete it via the Databricks Python SDK.</w:t>
            </w:r>
          </w:p>
        </w:tc>
      </w:tr>
    </w:tbl>
    <w:p>
      <w:pPr>
        <w:spacing w:before="0"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