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F172A"/>
          <w:sz w:val="44"/>
        </w:rPr>
        <w:t>Engineering Guide: Databricks AI Gateway on AWS</w:t>
      </w:r>
    </w:p>
    <w:p>
      <w:pPr>
        <w:spacing w:before="0" w:after="280"/>
      </w:pPr>
      <w:r>
        <w:rPr>
          <w:rFonts w:ascii="Segoe UI" w:hAnsi="Segoe UI"/>
          <w:color w:val="EA580C"/>
          <w:sz w:val="24"/>
        </w:rPr>
        <w:t>Production Architecture, Operational Excellence, Cost Engineering &amp; DABs on AWS</w:t>
      </w:r>
    </w:p>
    <w:p>
      <w:pPr>
        <w:spacing w:before="0" w:after="120" w:line="288" w:lineRule="auto"/>
      </w:pPr>
      <w:r>
        <w:rPr>
          <w:rFonts w:ascii="Segoe UI" w:hAnsi="Segoe UI"/>
          <w:color w:val="334155"/>
          <w:sz w:val="21"/>
        </w:rPr>
        <w:t>When you deploy LLMs and GenAI agents on Databricks running on AWS, you are operating across two billing surfaces and two operational models simultaneously: Databricks DBUs (compute units) and AWS infrastructure resources (EC2 instances, EBS volumes, VPC PrivateLink, S3 storage, and KMS keys). Unchecked multi-agent loops, over-provisioned GPU clusters, uncompacted Delta inference tables, or naive token handling can quickly explode your AWS and Databricks invoices. This technical guide details the exact architecture, code patterns, and Databricks Asset Bundle (DAB) templates needed to achieve bulletproof reliability and radical cost efficiency on AWS.</w:t>
      </w:r>
    </w:p>
    <w:p>
      <w:pPr>
        <w:pStyle w:val="Heading1"/>
        <w:spacing w:before="280" w:after="80"/>
      </w:pPr>
      <w:r>
        <w:rPr>
          <w:rFonts w:ascii="Segoe UI" w:hAnsi="Segoe UI"/>
          <w:b/>
          <w:color w:val="0F172A"/>
          <w:sz w:val="28"/>
        </w:rPr>
        <w:t>1. Production Architecture on AWS</w:t>
      </w:r>
    </w:p>
    <w:p>
      <w:pPr>
        <w:spacing w:before="0" w:after="120" w:line="288" w:lineRule="auto"/>
      </w:pPr>
      <w:r>
        <w:rPr>
          <w:rFonts w:ascii="Segoe UI" w:hAnsi="Segoe UI"/>
          <w:color w:val="334155"/>
          <w:sz w:val="21"/>
        </w:rPr>
        <w:t>A production-ready Databricks AI Gateway setup on AWS consists of four tightly integrated layers: Ingress Security, Gateway Governance, Mosaic Compute, and AWS Storage/Billing observability.</w:t>
      </w:r>
    </w:p>
    <w:p>
      <w:pPr>
        <w:pStyle w:val="ListBullet"/>
        <w:spacing w:before="20" w:after="60" w:line="276" w:lineRule="auto"/>
      </w:pPr>
      <w:r>
        <w:rPr>
          <w:rFonts w:ascii="Segoe UI" w:hAnsi="Segoe UI"/>
          <w:b/>
          <w:color w:val="0F172A"/>
          <w:sz w:val="20"/>
        </w:rPr>
        <w:t xml:space="preserve">Secure Ingress &amp; Identity (AWS IAM + Databricks M2M): </w:t>
      </w:r>
      <w:r>
        <w:rPr>
          <w:rFonts w:ascii="Segoe UI" w:hAnsi="Segoe UI"/>
          <w:color w:val="334155"/>
          <w:sz w:val="20"/>
        </w:rPr>
        <w:t>Workloads inside your AWS VPC (microservices on EKS, ECS, or Lambda) authenticate to Databricks Model Serving using OAuth 2.0 Machine-to-Machine (M2M) tokens via Databricks Service Principals, communicating over AWS PrivateLink endpoints without traversing the public internet.</w:t>
      </w:r>
    </w:p>
    <w:p>
      <w:pPr>
        <w:pStyle w:val="ListBullet"/>
        <w:spacing w:before="20" w:after="60" w:line="276" w:lineRule="auto"/>
      </w:pPr>
      <w:r>
        <w:rPr>
          <w:rFonts w:ascii="Segoe UI" w:hAnsi="Segoe UI"/>
          <w:b/>
          <w:color w:val="0F172A"/>
          <w:sz w:val="20"/>
        </w:rPr>
        <w:t xml:space="preserve">AI Gateway Governance Layer: </w:t>
      </w:r>
      <w:r>
        <w:rPr>
          <w:rFonts w:ascii="Segoe UI" w:hAnsi="Segoe UI"/>
          <w:color w:val="334155"/>
          <w:sz w:val="20"/>
        </w:rPr>
        <w:t>Enforces strict queries-per-minute (QPM) and tokens-per-minute (TPM) rate caps, automatic multi-provider fallback (e.g., Azure/Bedrock/Anthropic), real-time PII and prompt injection filters, and semantic caching before requests touch compute.</w:t>
      </w:r>
    </w:p>
    <w:p>
      <w:pPr>
        <w:pStyle w:val="ListBullet"/>
        <w:spacing w:before="20" w:after="60" w:line="276" w:lineRule="auto"/>
      </w:pPr>
      <w:r>
        <w:rPr>
          <w:rFonts w:ascii="Segoe UI" w:hAnsi="Segoe UI"/>
          <w:b/>
          <w:color w:val="0F172A"/>
          <w:sz w:val="20"/>
        </w:rPr>
        <w:t xml:space="preserve">Compute Engine (Mosaic AI Model Serving): </w:t>
      </w:r>
      <w:r>
        <w:rPr>
          <w:rFonts w:ascii="Segoe UI" w:hAnsi="Segoe UI"/>
          <w:color w:val="334155"/>
          <w:sz w:val="20"/>
        </w:rPr>
        <w:t>Differentiates between external Pay-Per-Token foundation endpoints (Llama 3.3, Claude, DBRX) and self-hosted models running on serverless AWS EC2 instances (CPU tiers vs. GPU tiers like G5 with A10G or P4d with A100), configured with aggressive scale-to-zero compute.</w:t>
      </w:r>
    </w:p>
    <w:p>
      <w:pPr>
        <w:pStyle w:val="ListBullet"/>
        <w:spacing w:before="20" w:after="60" w:line="276" w:lineRule="auto"/>
      </w:pPr>
      <w:r>
        <w:rPr>
          <w:rFonts w:ascii="Segoe UI" w:hAnsi="Segoe UI"/>
          <w:b/>
          <w:color w:val="0F172A"/>
          <w:sz w:val="20"/>
        </w:rPr>
        <w:t xml:space="preserve">Storage, Billing &amp; Auditing Layer: </w:t>
      </w:r>
      <w:r>
        <w:rPr>
          <w:rFonts w:ascii="Segoe UI" w:hAnsi="Segoe UI"/>
          <w:color w:val="334155"/>
          <w:sz w:val="20"/>
        </w:rPr>
        <w:t>Inference tables automatically write raw payloads to Unity Catalog Delta tables residing on Amazon S3. DBU consumption is tracked via system.billing.usage, while underlying infrastructure costs flow into AWS Cost Allocation Tags.</w:t>
      </w:r>
    </w:p>
    <w:p>
      <w:pPr>
        <w:pStyle w:val="Heading1"/>
        <w:spacing w:before="280" w:after="80"/>
      </w:pPr>
      <w:r>
        <w:rPr>
          <w:rFonts w:ascii="Segoe UI" w:hAnsi="Segoe UI"/>
          <w:b/>
          <w:color w:val="0F172A"/>
          <w:sz w:val="28"/>
        </w:rPr>
        <w:t>2. Comprehensive Cost-Saving &amp; Operational Strategy Matrix</w:t>
      </w:r>
    </w:p>
    <w:tbl>
      <w:tblPr>
        <w:tblW w:type="auto" w:w="0"/>
        <w:jc w:val="center"/>
        <w:tblLayout w:type="fixed"/>
        <w:tblLook w:firstColumn="1" w:firstRow="1" w:lastColumn="0" w:lastRow="0" w:noHBand="0" w:noVBand="1" w:val="04A0"/>
      </w:tblPr>
      <w:tblGrid>
        <w:gridCol w:w="2592"/>
        <w:gridCol w:w="3744"/>
        <w:gridCol w:w="3312"/>
      </w:tblGrid>
      <w:tr>
        <w:tc>
          <w:tcPr>
            <w:tcW w:type="dxa" w:w="3216"/>
            <w:shd w:fill="0F172A"/>
            <w:tcMar>
              <w:top w:w="80" w:type="dxa"/>
              <w:bottom w:w="80" w:type="dxa"/>
              <w:left w:w="100" w:type="dxa"/>
              <w:right w:w="100" w:type="dxa"/>
            </w:tcMar>
          </w:tcPr>
          <w:p>
            <w:r>
              <w:rPr>
                <w:rFonts w:ascii="Segoe UI" w:hAnsi="Segoe UI"/>
                <w:b/>
                <w:color w:val="FFFFFF"/>
                <w:sz w:val="19"/>
              </w:rPr>
              <w:t>Strategy &amp; Mechanism</w:t>
            </w:r>
          </w:p>
        </w:tc>
        <w:tc>
          <w:tcPr>
            <w:tcW w:type="dxa" w:w="3216"/>
            <w:shd w:fill="0F172A"/>
            <w:tcMar>
              <w:top w:w="80" w:type="dxa"/>
              <w:bottom w:w="80" w:type="dxa"/>
              <w:left w:w="100" w:type="dxa"/>
              <w:right w:w="100" w:type="dxa"/>
            </w:tcMar>
          </w:tcPr>
          <w:p>
            <w:r>
              <w:rPr>
                <w:rFonts w:ascii="Segoe UI" w:hAnsi="Segoe UI"/>
                <w:b/>
                <w:color w:val="FFFFFF"/>
                <w:sz w:val="19"/>
              </w:rPr>
              <w:t>AWS &amp; Databricks Technical Details</w:t>
            </w:r>
          </w:p>
        </w:tc>
        <w:tc>
          <w:tcPr>
            <w:tcW w:type="dxa" w:w="3216"/>
            <w:shd w:fill="0F172A"/>
            <w:tcMar>
              <w:top w:w="80" w:type="dxa"/>
              <w:bottom w:w="80" w:type="dxa"/>
              <w:left w:w="100" w:type="dxa"/>
              <w:right w:w="100" w:type="dxa"/>
            </w:tcMar>
          </w:tcPr>
          <w:p>
            <w:r>
              <w:rPr>
                <w:rFonts w:ascii="Segoe UI" w:hAnsi="Segoe UI"/>
                <w:b/>
                <w:color w:val="FFFFFF"/>
                <w:sz w:val="19"/>
              </w:rPr>
              <w:t>Recommended Production Target</w:t>
            </w:r>
          </w:p>
        </w:tc>
      </w:tr>
      <w:tr>
        <w:tc>
          <w:tcPr>
            <w:tcW w:type="dxa" w:w="3216"/>
            <w:shd w:fill="FFFFFF"/>
            <w:tcMar>
              <w:top w:w="80" w:type="dxa"/>
              <w:bottom w:w="80" w:type="dxa"/>
              <w:left w:w="100" w:type="dxa"/>
              <w:right w:w="100" w:type="dxa"/>
            </w:tcMar>
          </w:tcPr>
          <w:p>
            <w:pPr>
              <w:spacing w:line="276" w:lineRule="auto"/>
            </w:pPr>
            <w:r>
              <w:rPr>
                <w:rFonts w:ascii="Segoe UI" w:hAnsi="Segoe UI"/>
                <w:b/>
                <w:color w:val="0F172A"/>
                <w:sz w:val="18"/>
              </w:rPr>
              <w:t>Rate Limiting &amp; Token Caps</w:t>
            </w:r>
          </w:p>
        </w:tc>
        <w:tc>
          <w:tcPr>
            <w:tcW w:type="dxa" w:w="3216"/>
            <w:shd w:fill="FFFFFF"/>
            <w:tcMar>
              <w:top w:w="80" w:type="dxa"/>
              <w:bottom w:w="80" w:type="dxa"/>
              <w:left w:w="100" w:type="dxa"/>
              <w:right w:w="100" w:type="dxa"/>
            </w:tcMar>
          </w:tcPr>
          <w:p>
            <w:pPr>
              <w:spacing w:line="276" w:lineRule="auto"/>
            </w:pPr>
            <w:r>
              <w:rPr>
                <w:rFonts w:ascii="Segoe UI" w:hAnsi="Segoe UI"/>
                <w:color w:val="334155"/>
                <w:sz w:val="18"/>
              </w:rPr>
              <w:t>Configures QPM and TPM rate limits in AI Gateway. Cuts off agent infinite loops at HTTP 429.</w:t>
            </w:r>
          </w:p>
        </w:tc>
        <w:tc>
          <w:tcPr>
            <w:tcW w:type="dxa" w:w="3216"/>
            <w:shd w:fill="FFFFFF"/>
            <w:tcMar>
              <w:top w:w="80" w:type="dxa"/>
              <w:bottom w:w="80" w:type="dxa"/>
              <w:left w:w="100" w:type="dxa"/>
              <w:right w:w="100" w:type="dxa"/>
            </w:tcMar>
          </w:tcPr>
          <w:p>
            <w:pPr>
              <w:spacing w:line="276" w:lineRule="auto"/>
            </w:pPr>
            <w:r>
              <w:rPr>
                <w:rFonts w:ascii="Segoe UI" w:hAnsi="Segoe UI"/>
                <w:color w:val="334155"/>
                <w:sz w:val="18"/>
              </w:rPr>
              <w:t>All multi-tenant endpoints and autonomous agentic workflows.</w:t>
            </w:r>
          </w:p>
        </w:tc>
      </w:tr>
      <w:tr>
        <w:tc>
          <w:tcPr>
            <w:tcW w:type="dxa" w:w="3216"/>
            <w:shd w:fill="F8FAFC"/>
            <w:tcMar>
              <w:top w:w="80" w:type="dxa"/>
              <w:bottom w:w="80" w:type="dxa"/>
              <w:left w:w="100" w:type="dxa"/>
              <w:right w:w="100" w:type="dxa"/>
            </w:tcMar>
          </w:tcPr>
          <w:p>
            <w:pPr>
              <w:spacing w:line="276" w:lineRule="auto"/>
            </w:pPr>
            <w:r>
              <w:rPr>
                <w:rFonts w:ascii="Segoe UI" w:hAnsi="Segoe UI"/>
                <w:b/>
                <w:color w:val="0F172A"/>
                <w:sz w:val="18"/>
              </w:rPr>
              <w:t>Scale-to-Zero &amp; Min Concurrency</w:t>
            </w:r>
          </w:p>
        </w:tc>
        <w:tc>
          <w:tcPr>
            <w:tcW w:type="dxa" w:w="3216"/>
            <w:shd w:fill="F8FAFC"/>
            <w:tcMar>
              <w:top w:w="80" w:type="dxa"/>
              <w:bottom w:w="80" w:type="dxa"/>
              <w:left w:w="100" w:type="dxa"/>
              <w:right w:w="100" w:type="dxa"/>
            </w:tcMar>
          </w:tcPr>
          <w:p>
            <w:pPr>
              <w:spacing w:line="276" w:lineRule="auto"/>
            </w:pPr>
            <w:r>
              <w:rPr>
                <w:rFonts w:ascii="Segoe UI" w:hAnsi="Segoe UI"/>
                <w:color w:val="334155"/>
                <w:sz w:val="18"/>
              </w:rPr>
              <w:t>De-allocates AWS EC2 instances after 20 mins of inactivity. Use min_concurrency=1 for SLA apps.</w:t>
            </w:r>
          </w:p>
        </w:tc>
        <w:tc>
          <w:tcPr>
            <w:tcW w:type="dxa" w:w="3216"/>
            <w:shd w:fill="F8FAFC"/>
            <w:tcMar>
              <w:top w:w="80" w:type="dxa"/>
              <w:bottom w:w="80" w:type="dxa"/>
              <w:left w:w="100" w:type="dxa"/>
              <w:right w:w="100" w:type="dxa"/>
            </w:tcMar>
          </w:tcPr>
          <w:p>
            <w:pPr>
              <w:spacing w:line="276" w:lineRule="auto"/>
            </w:pPr>
            <w:r>
              <w:rPr>
                <w:rFonts w:ascii="Segoe UI" w:hAnsi="Segoe UI"/>
                <w:color w:val="334155"/>
                <w:sz w:val="18"/>
              </w:rPr>
              <w:t>Scale-to-zero for Dev/QA; min_concurrency=1 for low-latency client-facing APIs.</w:t>
            </w:r>
          </w:p>
        </w:tc>
      </w:tr>
      <w:tr>
        <w:tc>
          <w:tcPr>
            <w:tcW w:type="dxa" w:w="3216"/>
            <w:shd w:fill="FFFFFF"/>
            <w:tcMar>
              <w:top w:w="80" w:type="dxa"/>
              <w:bottom w:w="80" w:type="dxa"/>
              <w:left w:w="100" w:type="dxa"/>
              <w:right w:w="100" w:type="dxa"/>
            </w:tcMar>
          </w:tcPr>
          <w:p>
            <w:pPr>
              <w:spacing w:line="276" w:lineRule="auto"/>
            </w:pPr>
            <w:r>
              <w:rPr>
                <w:rFonts w:ascii="Segoe UI" w:hAnsi="Segoe UI"/>
                <w:b/>
                <w:color w:val="0F172A"/>
                <w:sz w:val="18"/>
              </w:rPr>
              <w:t>Pay-Per-Token vs. Provisioned</w:t>
            </w:r>
          </w:p>
        </w:tc>
        <w:tc>
          <w:tcPr>
            <w:tcW w:type="dxa" w:w="3216"/>
            <w:shd w:fill="FFFFFF"/>
            <w:tcMar>
              <w:top w:w="80" w:type="dxa"/>
              <w:bottom w:w="80" w:type="dxa"/>
              <w:left w:w="100" w:type="dxa"/>
              <w:right w:w="100" w:type="dxa"/>
            </w:tcMar>
          </w:tcPr>
          <w:p>
            <w:pPr>
              <w:spacing w:line="276" w:lineRule="auto"/>
            </w:pPr>
            <w:r>
              <w:rPr>
                <w:rFonts w:ascii="Segoe UI" w:hAnsi="Segoe UI"/>
                <w:color w:val="334155"/>
                <w:sz w:val="18"/>
              </w:rPr>
              <w:t>Pay-per-token Foundation APIs vs. dedicated provisioned throughput (concurrency-locked instances).</w:t>
            </w:r>
          </w:p>
        </w:tc>
        <w:tc>
          <w:tcPr>
            <w:tcW w:type="dxa" w:w="3216"/>
            <w:shd w:fill="FFFFFF"/>
            <w:tcMar>
              <w:top w:w="80" w:type="dxa"/>
              <w:bottom w:w="80" w:type="dxa"/>
              <w:left w:w="100" w:type="dxa"/>
              <w:right w:w="100" w:type="dxa"/>
            </w:tcMar>
          </w:tcPr>
          <w:p>
            <w:pPr>
              <w:spacing w:line="276" w:lineRule="auto"/>
            </w:pPr>
            <w:r>
              <w:rPr>
                <w:rFonts w:ascii="Segoe UI" w:hAnsi="Segoe UI"/>
                <w:color w:val="334155"/>
                <w:sz w:val="18"/>
              </w:rPr>
              <w:t>Pay-per-token for bursty/ad-hoc tasks; provisioned only when steady volume exceeds ~150 QPS.</w:t>
            </w:r>
          </w:p>
        </w:tc>
      </w:tr>
      <w:tr>
        <w:tc>
          <w:tcPr>
            <w:tcW w:type="dxa" w:w="3216"/>
            <w:shd w:fill="F8FAFC"/>
            <w:tcMar>
              <w:top w:w="80" w:type="dxa"/>
              <w:bottom w:w="80" w:type="dxa"/>
              <w:left w:w="100" w:type="dxa"/>
              <w:right w:w="100" w:type="dxa"/>
            </w:tcMar>
          </w:tcPr>
          <w:p>
            <w:pPr>
              <w:spacing w:line="276" w:lineRule="auto"/>
            </w:pPr>
            <w:r>
              <w:rPr>
                <w:rFonts w:ascii="Segoe UI" w:hAnsi="Segoe UI"/>
                <w:b/>
                <w:color w:val="0F172A"/>
                <w:sz w:val="18"/>
              </w:rPr>
              <w:t>Small Language Model (SLM) Downgrade</w:t>
            </w:r>
          </w:p>
        </w:tc>
        <w:tc>
          <w:tcPr>
            <w:tcW w:type="dxa" w:w="3216"/>
            <w:shd w:fill="F8FAFC"/>
            <w:tcMar>
              <w:top w:w="80" w:type="dxa"/>
              <w:bottom w:w="80" w:type="dxa"/>
              <w:left w:w="100" w:type="dxa"/>
              <w:right w:w="100" w:type="dxa"/>
            </w:tcMar>
          </w:tcPr>
          <w:p>
            <w:pPr>
              <w:spacing w:line="276" w:lineRule="auto"/>
            </w:pPr>
            <w:r>
              <w:rPr>
                <w:rFonts w:ascii="Segoe UI" w:hAnsi="Segoe UI"/>
                <w:color w:val="334155"/>
                <w:sz w:val="18"/>
              </w:rPr>
              <w:t>Routes classification, schema validation, and routing tasks to Llama 3.1 8B or Haiku.</w:t>
            </w:r>
          </w:p>
        </w:tc>
        <w:tc>
          <w:tcPr>
            <w:tcW w:type="dxa" w:w="3216"/>
            <w:shd w:fill="F8FAFC"/>
            <w:tcMar>
              <w:top w:w="80" w:type="dxa"/>
              <w:bottom w:w="80" w:type="dxa"/>
              <w:left w:w="100" w:type="dxa"/>
              <w:right w:w="100" w:type="dxa"/>
            </w:tcMar>
          </w:tcPr>
          <w:p>
            <w:pPr>
              <w:spacing w:line="276" w:lineRule="auto"/>
            </w:pPr>
            <w:r>
              <w:rPr>
                <w:rFonts w:ascii="Segoe UI" w:hAnsi="Segoe UI"/>
                <w:color w:val="334155"/>
                <w:sz w:val="18"/>
              </w:rPr>
              <w:t>Upfront pipeline steps where using 70B+ frontier models wastes 80-90% of token spend.</w:t>
            </w:r>
          </w:p>
        </w:tc>
      </w:tr>
      <w:tr>
        <w:tc>
          <w:tcPr>
            <w:tcW w:type="dxa" w:w="3216"/>
            <w:shd w:fill="FFFFFF"/>
            <w:tcMar>
              <w:top w:w="80" w:type="dxa"/>
              <w:bottom w:w="80" w:type="dxa"/>
              <w:left w:w="100" w:type="dxa"/>
              <w:right w:w="100" w:type="dxa"/>
            </w:tcMar>
          </w:tcPr>
          <w:p>
            <w:pPr>
              <w:spacing w:line="276" w:lineRule="auto"/>
            </w:pPr>
            <w:r>
              <w:rPr>
                <w:rFonts w:ascii="Segoe UI" w:hAnsi="Segoe UI"/>
                <w:b/>
                <w:color w:val="0F172A"/>
                <w:sz w:val="18"/>
              </w:rPr>
              <w:t>Prompt Prefix Caching</w:t>
            </w:r>
          </w:p>
        </w:tc>
        <w:tc>
          <w:tcPr>
            <w:tcW w:type="dxa" w:w="3216"/>
            <w:shd w:fill="FFFFFF"/>
            <w:tcMar>
              <w:top w:w="80" w:type="dxa"/>
              <w:bottom w:w="80" w:type="dxa"/>
              <w:left w:w="100" w:type="dxa"/>
              <w:right w:w="100" w:type="dxa"/>
            </w:tcMar>
          </w:tcPr>
          <w:p>
            <w:pPr>
              <w:spacing w:line="276" w:lineRule="auto"/>
            </w:pPr>
            <w:r>
              <w:rPr>
                <w:rFonts w:ascii="Segoe UI" w:hAnsi="Segoe UI"/>
                <w:color w:val="334155"/>
                <w:sz w:val="18"/>
              </w:rPr>
              <w:t>Static prompt prefixes (system instructions, documents) reused across calls get 50-90% discount.</w:t>
            </w:r>
          </w:p>
        </w:tc>
        <w:tc>
          <w:tcPr>
            <w:tcW w:type="dxa" w:w="3216"/>
            <w:shd w:fill="FFFFFF"/>
            <w:tcMar>
              <w:top w:w="80" w:type="dxa"/>
              <w:bottom w:w="80" w:type="dxa"/>
              <w:left w:w="100" w:type="dxa"/>
              <w:right w:w="100" w:type="dxa"/>
            </w:tcMar>
          </w:tcPr>
          <w:p>
            <w:pPr>
              <w:spacing w:line="276" w:lineRule="auto"/>
            </w:pPr>
            <w:r>
              <w:rPr>
                <w:rFonts w:ascii="Segoe UI" w:hAnsi="Segoe UI"/>
                <w:color w:val="334155"/>
                <w:sz w:val="18"/>
              </w:rPr>
              <w:t>RAG pipelines, fixed customer support contexts, and structured schema parsers.</w:t>
            </w:r>
          </w:p>
        </w:tc>
      </w:tr>
      <w:tr>
        <w:tc>
          <w:tcPr>
            <w:tcW w:type="dxa" w:w="3216"/>
            <w:shd w:fill="F8FAFC"/>
            <w:tcMar>
              <w:top w:w="80" w:type="dxa"/>
              <w:bottom w:w="80" w:type="dxa"/>
              <w:left w:w="100" w:type="dxa"/>
              <w:right w:w="100" w:type="dxa"/>
            </w:tcMar>
          </w:tcPr>
          <w:p>
            <w:pPr>
              <w:spacing w:line="276" w:lineRule="auto"/>
            </w:pPr>
            <w:r>
              <w:rPr>
                <w:rFonts w:ascii="Segoe UI" w:hAnsi="Segoe UI"/>
                <w:b/>
                <w:color w:val="0F172A"/>
                <w:sz w:val="18"/>
              </w:rPr>
              <w:t>Semantic Caching (Vector Search)</w:t>
            </w:r>
          </w:p>
        </w:tc>
        <w:tc>
          <w:tcPr>
            <w:tcW w:type="dxa" w:w="3216"/>
            <w:shd w:fill="F8FAFC"/>
            <w:tcMar>
              <w:top w:w="80" w:type="dxa"/>
              <w:bottom w:w="80" w:type="dxa"/>
              <w:left w:w="100" w:type="dxa"/>
              <w:right w:w="100" w:type="dxa"/>
            </w:tcMar>
          </w:tcPr>
          <w:p>
            <w:pPr>
              <w:spacing w:line="276" w:lineRule="auto"/>
            </w:pPr>
            <w:r>
              <w:rPr>
                <w:rFonts w:ascii="Segoe UI" w:hAnsi="Segoe UI"/>
                <w:color w:val="334155"/>
                <w:sz w:val="18"/>
              </w:rPr>
              <w:t>Returns pre-computed responses for semantically identical queries without calling the LLM.</w:t>
            </w:r>
          </w:p>
        </w:tc>
        <w:tc>
          <w:tcPr>
            <w:tcW w:type="dxa" w:w="3216"/>
            <w:shd w:fill="F8FAFC"/>
            <w:tcMar>
              <w:top w:w="80" w:type="dxa"/>
              <w:bottom w:w="80" w:type="dxa"/>
              <w:left w:w="100" w:type="dxa"/>
              <w:right w:w="100" w:type="dxa"/>
            </w:tcMar>
          </w:tcPr>
          <w:p>
            <w:pPr>
              <w:spacing w:line="276" w:lineRule="auto"/>
            </w:pPr>
            <w:r>
              <w:rPr>
                <w:rFonts w:ascii="Segoe UI" w:hAnsi="Segoe UI"/>
                <w:color w:val="334155"/>
                <w:sz w:val="18"/>
              </w:rPr>
              <w:t>High-volume repetitive queries (FAQ bots, documentation copilots). Bills 0 tokens.</w:t>
            </w:r>
          </w:p>
        </w:tc>
      </w:tr>
      <w:tr>
        <w:tc>
          <w:tcPr>
            <w:tcW w:type="dxa" w:w="3216"/>
            <w:shd w:fill="FFFFFF"/>
            <w:tcMar>
              <w:top w:w="80" w:type="dxa"/>
              <w:bottom w:w="80" w:type="dxa"/>
              <w:left w:w="100" w:type="dxa"/>
              <w:right w:w="100" w:type="dxa"/>
            </w:tcMar>
          </w:tcPr>
          <w:p>
            <w:pPr>
              <w:spacing w:line="276" w:lineRule="auto"/>
            </w:pPr>
            <w:r>
              <w:rPr>
                <w:rFonts w:ascii="Segoe UI" w:hAnsi="Segoe UI"/>
                <w:b/>
                <w:color w:val="0F172A"/>
                <w:sz w:val="18"/>
              </w:rPr>
              <w:t>Jobs Compute for Offline Batch (ai_query)</w:t>
            </w:r>
          </w:p>
        </w:tc>
        <w:tc>
          <w:tcPr>
            <w:tcW w:type="dxa" w:w="3216"/>
            <w:shd w:fill="FFFFFF"/>
            <w:tcMar>
              <w:top w:w="80" w:type="dxa"/>
              <w:bottom w:w="80" w:type="dxa"/>
              <w:left w:w="100" w:type="dxa"/>
              <w:right w:w="100" w:type="dxa"/>
            </w:tcMar>
          </w:tcPr>
          <w:p>
            <w:pPr>
              <w:spacing w:line="276" w:lineRule="auto"/>
            </w:pPr>
            <w:r>
              <w:rPr>
                <w:rFonts w:ascii="Segoe UI" w:hAnsi="Segoe UI"/>
                <w:color w:val="334155"/>
                <w:sz w:val="18"/>
              </w:rPr>
              <w:t>Executes inference in batch PySpark jobs instead of invoking real-time Model Serving endpoints.</w:t>
            </w:r>
          </w:p>
        </w:tc>
        <w:tc>
          <w:tcPr>
            <w:tcW w:type="dxa" w:w="3216"/>
            <w:shd w:fill="FFFFFF"/>
            <w:tcMar>
              <w:top w:w="80" w:type="dxa"/>
              <w:bottom w:w="80" w:type="dxa"/>
              <w:left w:w="100" w:type="dxa"/>
              <w:right w:w="100" w:type="dxa"/>
            </w:tcMar>
          </w:tcPr>
          <w:p>
            <w:pPr>
              <w:spacing w:line="276" w:lineRule="auto"/>
            </w:pPr>
            <w:r>
              <w:rPr>
                <w:rFonts w:ascii="Segoe UI" w:hAnsi="Segoe UI"/>
                <w:color w:val="334155"/>
                <w:sz w:val="18"/>
              </w:rPr>
              <w:t>Historical backfills, bulk sentiment analysis, offline feature generation. Costs ~$0.15 vs ~$0.55/DBU.</w:t>
            </w:r>
          </w:p>
        </w:tc>
      </w:tr>
    </w:tbl>
    <w:p>
      <w:pPr>
        <w:spacing w:before="40" w:after="40"/>
      </w:pPr>
    </w:p>
    <w:p>
      <w:pPr>
        <w:pStyle w:val="Heading1"/>
        <w:spacing w:before="280" w:after="80"/>
      </w:pPr>
      <w:r>
        <w:rPr>
          <w:rFonts w:ascii="Segoe UI" w:hAnsi="Segoe UI"/>
          <w:b/>
          <w:color w:val="0F172A"/>
          <w:sz w:val="28"/>
        </w:rPr>
        <w:t>3. Practical Engineering Implementations</w:t>
      </w:r>
    </w:p>
    <w:p>
      <w:pPr>
        <w:spacing w:before="0" w:after="120" w:line="288" w:lineRule="auto"/>
      </w:pPr>
      <w:r>
        <w:rPr>
          <w:rFonts w:ascii="Segoe UI" w:hAnsi="Segoe UI"/>
          <w:b/>
          <w:color w:val="0F172A"/>
          <w:sz w:val="21"/>
        </w:rPr>
        <w:t xml:space="preserve">3.1 Gateway Authentication &amp; AWS Secrets Management: </w:t>
      </w:r>
      <w:r>
        <w:rPr>
          <w:rFonts w:ascii="Segoe UI" w:hAnsi="Segoe UI"/>
          <w:color w:val="334155"/>
          <w:sz w:val="21"/>
        </w:rPr>
        <w:t>Never hardcode external LLM API tokens (OpenAI, Anthropic, Bedrock credentials) in plain text. Store keys in Databricks Secret Scopes backed by AWS Secrets Manager or KMS-encrypted Databricks scopes. Client applications authenticate via Databricks Service Principals using OAuth 2.0 M2M tokens:</w:t>
      </w:r>
    </w:p>
    <w:p>
      <w:pPr>
        <w:spacing w:before="120" w:after="40"/>
      </w:pPr>
      <w:r>
        <w:rPr>
          <w:rFonts w:ascii="Segoe UI" w:hAnsi="Segoe UI"/>
          <w:i/>
          <w:color w:val="64748B"/>
          <w:sz w:val="18"/>
        </w:rPr>
        <w:t>Secret scope storage and dynamic reference</w:t>
      </w:r>
    </w:p>
    <w:tbl>
      <w:tblPr>
        <w:tblW w:type="auto" w:w="0"/>
        <w:jc w:val="center"/>
        <w:tblLayout w:type="fixed"/>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7"/>
              </w:rPr>
              <w:t># 1. Create a Databricks Secret Scope backed by AWS Secrets Manager or Databricks KMS</w:t>
              <w:br/>
              <w:t>databricks secrets create-scope my-ai-secrets</w:t>
              <w:br/>
              <w:br/>
              <w:t># 2. Store your external provider API key securely</w:t>
              <w:br/>
              <w:t>databricks secrets put-secret my-ai-secrets anthropic-api-key --string-value "sk-ant-api03-..."</w:t>
              <w:br/>
              <w:br/>
              <w:t># 3. In code or external model serving definitions, reference the secret dynamically:</w:t>
              <w:br/>
              <w:t># external_model:</w:t>
              <w:br/>
              <w:t>#   provider: "anthropic"</w:t>
              <w:br/>
              <w:t>#   anthropic_config:</w:t>
              <w:br/>
              <w:t>#     anthropic_api_key: "{{secrets/my-ai-secrets/anthropic-api-key}}</w:t>
            </w:r>
          </w:p>
        </w:tc>
      </w:tr>
    </w:tbl>
    <w:p>
      <w:pPr>
        <w:spacing w:before="0" w:after="80"/>
      </w:pPr>
    </w:p>
    <w:p>
      <w:pPr>
        <w:spacing w:before="0" w:after="120" w:line="288" w:lineRule="auto"/>
      </w:pPr>
      <w:r>
        <w:rPr>
          <w:rFonts w:ascii="Segoe UI" w:hAnsi="Segoe UI"/>
          <w:b/>
          <w:color w:val="0F172A"/>
          <w:sz w:val="21"/>
        </w:rPr>
        <w:t xml:space="preserve">3.2 Rate Limiting and Cold-Start Mitigation: </w:t>
      </w:r>
      <w:r>
        <w:rPr>
          <w:rFonts w:ascii="Segoe UI" w:hAnsi="Segoe UI"/>
          <w:color w:val="334155"/>
          <w:sz w:val="21"/>
        </w:rPr>
        <w:t>When provisioning serving endpoints, define both call rate caps and token rate caps. For self-hosted models, decide deliberately whether scale-to-zero is acceptable or if you require min_provisioned_concurrency to eliminate cold starts:</w:t>
      </w:r>
    </w:p>
    <w:p>
      <w:pPr>
        <w:spacing w:before="120" w:after="40"/>
      </w:pPr>
      <w:r>
        <w:rPr>
          <w:rFonts w:ascii="Segoe UI" w:hAnsi="Segoe UI"/>
          <w:i/>
          <w:color w:val="64748B"/>
          <w:sz w:val="18"/>
        </w:rPr>
        <w:t>Endpoint configuration with AI Gateway guardrails and concurrency locks</w:t>
      </w:r>
    </w:p>
    <w:tbl>
      <w:tblPr>
        <w:tblW w:type="auto" w:w="0"/>
        <w:jc w:val="center"/>
        <w:tblLayout w:type="fixed"/>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7"/>
              </w:rPr>
              <w:t>{</w:t>
              <w:br/>
              <w:t xml:space="preserve">  "name": "enterprise-llm-gateway",</w:t>
              <w:br/>
              <w:t xml:space="preserve">  "ai_gateway": {</w:t>
              <w:br/>
              <w:t xml:space="preserve">    "rate_limits": [</w:t>
              <w:br/>
              <w:t xml:space="preserve">      { "key": "user", "renewal_period": "minute", "calls": 60 },</w:t>
              <w:br/>
              <w:t xml:space="preserve">      { "key": "user", "renewal_period": "minute", "tokens": 50000 },</w:t>
              <w:br/>
              <w:t xml:space="preserve">      { "key": "endpoint", "renewal_period": "minute", "calls": 1200 }</w:t>
              <w:br/>
              <w:t xml:space="preserve">    ],</w:t>
              <w:br/>
              <w:t xml:space="preserve">    "guardrails": {</w:t>
              <w:br/>
              <w:t xml:space="preserve">      "input": { "pii": { "behavior": "block" }, "safety": { "behavior": "block" } }</w:t>
              <w:br/>
              <w:t xml:space="preserve">    }</w:t>
              <w:br/>
              <w:t xml:space="preserve">  },</w:t>
              <w:br/>
              <w:t xml:space="preserve">  "config": {</w:t>
              <w:br/>
              <w:t xml:space="preserve">    "served_entities": [</w:t>
              <w:br/>
              <w:t xml:space="preserve">      {</w:t>
              <w:br/>
              <w:t xml:space="preserve">        "name": "primary-model",</w:t>
              <w:br/>
              <w:t xml:space="preserve">        "entity_name": "prod_catalog.ai_models.custom_rag_llm",</w:t>
              <w:br/>
              <w:t xml:space="preserve">        "entity_version": "1",</w:t>
              <w:br/>
              <w:t xml:space="preserve">        "workload_size": "Small",</w:t>
              <w:br/>
              <w:t xml:space="preserve">        "scale_to_zero_enabled": false,</w:t>
              <w:br/>
              <w:t xml:space="preserve">        "min_provisioned_concurrency": 1</w:t>
              <w:br/>
              <w:t xml:space="preserve">      }</w:t>
              <w:br/>
              <w:t xml:space="preserve">    ]</w:t>
              <w:br/>
              <w:t xml:space="preserve">  }</w:t>
              <w:br/>
              <w:t>}</w:t>
            </w:r>
          </w:p>
        </w:tc>
      </w:tr>
    </w:tbl>
    <w:p>
      <w:pPr>
        <w:spacing w:before="0" w:after="80"/>
      </w:pPr>
    </w:p>
    <w:p>
      <w:pPr>
        <w:spacing w:before="0" w:after="120" w:line="288" w:lineRule="auto"/>
      </w:pPr>
      <w:r>
        <w:rPr>
          <w:rFonts w:ascii="Segoe UI" w:hAnsi="Segoe UI"/>
          <w:b/>
          <w:color w:val="0F172A"/>
          <w:sz w:val="21"/>
        </w:rPr>
        <w:t xml:space="preserve">3.3 Billing Telemetry via Databricks SQL: </w:t>
      </w:r>
      <w:r>
        <w:rPr>
          <w:rFonts w:ascii="Segoe UI" w:hAnsi="Segoe UI"/>
          <w:color w:val="334155"/>
          <w:sz w:val="21"/>
        </w:rPr>
        <w:t>Model Serving consumption is tracked in Databricks system tables. By attaching AWS-aligned cost tags (such as Environment, CostCenter, ProjectID), you can query exact daily consumption and correlate DBUs with AWS CUR (Cost &amp; Usage Report):</w:t>
      </w:r>
    </w:p>
    <w:p>
      <w:pPr>
        <w:spacing w:before="120" w:after="40"/>
      </w:pPr>
      <w:r>
        <w:rPr>
          <w:rFonts w:ascii="Segoe UI" w:hAnsi="Segoe UI"/>
          <w:i/>
          <w:color w:val="64748B"/>
          <w:sz w:val="18"/>
        </w:rPr>
        <w:t>Databricks SQL query for multi-tenant AWS chargeback tracking</w:t>
      </w:r>
    </w:p>
    <w:tbl>
      <w:tblPr>
        <w:tblW w:type="auto" w:w="0"/>
        <w:jc w:val="center"/>
        <w:tblLayout w:type="fixed"/>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7"/>
              </w:rPr>
              <w:t xml:space="preserve">SELECT </w:t>
              <w:br/>
              <w:t xml:space="preserve">    usage_date,</w:t>
              <w:br/>
              <w:t xml:space="preserve">    custom_tags['cost_center'] AS aws_cost_center,</w:t>
              <w:br/>
              <w:t xml:space="preserve">    custom_tags['environment'] AS deployment_env,</w:t>
              <w:br/>
              <w:t xml:space="preserve">    usage_metadata.endpoint_name AS serving_endpoint,</w:t>
              <w:br/>
              <w:t xml:space="preserve">    SUM(usage_quantity) AS total_dbus_consumed,</w:t>
              <w:br/>
              <w:t xml:space="preserve">    ROUND(SUM(usage_quantity) * 0.55, 2) AS estimated_dbu_cost_usd</w:t>
              <w:br/>
              <w:t>FROM system.billing.usage</w:t>
              <w:br/>
              <w:t>WHERE billing_origin_product = 'MODEL_SERVING'</w:t>
              <w:br/>
              <w:t xml:space="preserve">  AND usage_date &gt;= CURRENT_DATE() - INTERVAL 30 DAYS</w:t>
              <w:br/>
              <w:t>GROUP BY 1, 2, 3, 4</w:t>
              <w:br/>
              <w:t>ORDER BY total_dbus_consumed DESC;</w:t>
            </w:r>
          </w:p>
        </w:tc>
      </w:tr>
    </w:tbl>
    <w:p>
      <w:pPr>
        <w:spacing w:before="0" w:after="80"/>
      </w:pPr>
    </w:p>
    <w:p>
      <w:pPr>
        <w:pStyle w:val="Heading1"/>
        <w:spacing w:before="280" w:after="80"/>
      </w:pPr>
      <w:r>
        <w:rPr>
          <w:rFonts w:ascii="Segoe UI" w:hAnsi="Segoe UI"/>
          <w:b/>
          <w:color w:val="0F172A"/>
          <w:sz w:val="28"/>
        </w:rPr>
        <w:t>4. Infrastructure-as-Code: Databricks Asset Bundles (DABs) on AWS</w:t>
      </w:r>
    </w:p>
    <w:p>
      <w:pPr>
        <w:spacing w:before="0" w:after="120" w:line="288" w:lineRule="auto"/>
      </w:pPr>
      <w:r>
        <w:rPr>
          <w:rFonts w:ascii="Segoe UI" w:hAnsi="Segoe UI"/>
          <w:color w:val="334155"/>
          <w:sz w:val="21"/>
        </w:rPr>
        <w:t>To automate endpoint deployments across dev, staging, and prod AWS accounts, use Databricks Asset Bundles (DABs). This guarantees that tags, rate limits, compute workload sizes, and secrets are managed in version control.</w:t>
      </w: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6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Standard DAB Directory Layout</w:t>
              <w:br/>
            </w:r>
            <w:r>
              <w:rPr>
                <w:rFonts w:ascii="Segoe UI" w:hAnsi="Segoe UI"/>
                <w:color w:val="334155"/>
                <w:sz w:val="19"/>
              </w:rPr>
              <w:t>ai-gateway-aws-bundle/</w:t>
              <w:br/>
              <w:t>├── databricks.yml                     # Multi-target AWS workspace definitions &amp; IAM SPs</w:t>
              <w:br/>
              <w:t>└── resources/</w:t>
              <w:br/>
              <w:t xml:space="preserve">    ├── serving_endpoints.yml          # AI Gateway endpoints &amp; served entities</w:t>
              <w:br/>
              <w:t xml:space="preserve">    └── model_evaluation_pipeline.yml  # Pre-promotion Mosaic AI Agent evaluation job</w:t>
            </w:r>
          </w:p>
        </w:tc>
      </w:tr>
    </w:tbl>
    <w:p>
      <w:pPr>
        <w:spacing w:before="0" w:after="80"/>
      </w:pPr>
    </w:p>
    <w:p>
      <w:pPr>
        <w:spacing w:before="0" w:after="120" w:line="288" w:lineRule="auto"/>
      </w:pPr>
      <w:r>
        <w:rPr>
          <w:rFonts w:ascii="Segoe UI" w:hAnsi="Segoe UI"/>
          <w:b/>
          <w:color w:val="0F172A"/>
          <w:sz w:val="21"/>
        </w:rPr>
        <w:t xml:space="preserve">databricks.yml: </w:t>
      </w:r>
      <w:r>
        <w:rPr>
          <w:rFonts w:ascii="Segoe UI" w:hAnsi="Segoe UI"/>
          <w:color w:val="334155"/>
          <w:sz w:val="21"/>
        </w:rPr>
        <w:t>The main bundle configuration defines target AWS workspaces, service principals, and bundle variables:</w:t>
      </w:r>
    </w:p>
    <w:p>
      <w:pPr>
        <w:spacing w:before="120" w:after="40"/>
      </w:pPr>
      <w:r>
        <w:rPr>
          <w:rFonts w:ascii="Segoe UI" w:hAnsi="Segoe UI"/>
          <w:i/>
          <w:color w:val="64748B"/>
          <w:sz w:val="18"/>
        </w:rPr>
        <w:t>databricks.yml for AWS multi-environment deployments</w:t>
      </w:r>
    </w:p>
    <w:tbl>
      <w:tblPr>
        <w:tblW w:type="auto" w:w="0"/>
        <w:jc w:val="center"/>
        <w:tblLayout w:type="fixed"/>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7"/>
              </w:rPr>
              <w:t>bundle:</w:t>
              <w:br/>
              <w:t xml:space="preserve">  name: databricks-ai-gateway-aws</w:t>
              <w:br/>
              <w:br/>
              <w:t>include:</w:t>
              <w:br/>
              <w:t xml:space="preserve">  - resources/*.yml</w:t>
              <w:br/>
              <w:br/>
              <w:t>variables:</w:t>
              <w:br/>
              <w:t xml:space="preserve">  aws_cost_center:</w:t>
              <w:br/>
              <w:t xml:space="preserve">    description: "AWS Cost Allocation Tag for FinOps Chargebacks"</w:t>
              <w:br/>
              <w:t xml:space="preserve">    default: "finops-ai-workloads"</w:t>
              <w:br/>
              <w:br/>
              <w:t>targets:</w:t>
              <w:br/>
              <w:t xml:space="preserve">  dev:</w:t>
              <w:br/>
              <w:t xml:space="preserve">    mode: development</w:t>
              <w:br/>
              <w:t xml:space="preserve">    default: true</w:t>
              <w:br/>
              <w:t xml:space="preserve">    workspace:</w:t>
              <w:br/>
              <w:t xml:space="preserve">      host: https://dbc-aws-dev-instance.cloud.databricks.com</w:t>
              <w:br/>
              <w:t xml:space="preserve">    variables:</w:t>
              <w:br/>
              <w:t xml:space="preserve">      environment: dev</w:t>
              <w:br/>
              <w:br/>
              <w:t xml:space="preserve">  prod:</w:t>
              <w:br/>
              <w:t xml:space="preserve">    mode: production</w:t>
              <w:br/>
              <w:t xml:space="preserve">    workspace:</w:t>
              <w:br/>
              <w:t xml:space="preserve">      host: https://dbc-aws-prod-instance.cloud.databricks.com</w:t>
              <w:br/>
              <w:t xml:space="preserve">    run_as:</w:t>
              <w:br/>
              <w:t xml:space="preserve">      # AWS Databricks OAuth Service Principal Application ID</w:t>
              <w:br/>
              <w:t xml:space="preserve">      service_principal_name: 11111111-2222-3333-4444-555555555555</w:t>
              <w:br/>
              <w:t xml:space="preserve">    variables:</w:t>
              <w:br/>
              <w:t xml:space="preserve">      environment: prod</w:t>
            </w:r>
          </w:p>
        </w:tc>
      </w:tr>
    </w:tbl>
    <w:p>
      <w:pPr>
        <w:spacing w:before="0" w:after="80"/>
      </w:pPr>
    </w:p>
    <w:p>
      <w:pPr>
        <w:spacing w:before="0" w:after="120" w:line="288" w:lineRule="auto"/>
      </w:pPr>
      <w:r>
        <w:rPr>
          <w:rFonts w:ascii="Segoe UI" w:hAnsi="Segoe UI"/>
          <w:b/>
          <w:color w:val="0F172A"/>
          <w:sz w:val="21"/>
        </w:rPr>
        <w:t xml:space="preserve">resources/serving_endpoints.yml: </w:t>
      </w:r>
      <w:r>
        <w:rPr>
          <w:rFonts w:ascii="Segoe UI" w:hAnsi="Segoe UI"/>
          <w:color w:val="334155"/>
          <w:sz w:val="21"/>
        </w:rPr>
        <w:t>The resource definition implements rate limits, fallback routing, and cost tags:</w:t>
      </w:r>
    </w:p>
    <w:p>
      <w:pPr>
        <w:spacing w:before="120" w:after="40"/>
      </w:pPr>
      <w:r>
        <w:rPr>
          <w:rFonts w:ascii="Segoe UI" w:hAnsi="Segoe UI"/>
          <w:i/>
          <w:color w:val="64748B"/>
          <w:sz w:val="18"/>
        </w:rPr>
        <w:t>resources/serving_endpoints.yml defining AI Gateway and self-hosted models</w:t>
      </w:r>
    </w:p>
    <w:tbl>
      <w:tblPr>
        <w:tblW w:type="auto" w:w="0"/>
        <w:jc w:val="center"/>
        <w:tblLayout w:type="fixed"/>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7"/>
              </w:rPr>
              <w:t>resources:</w:t>
              <w:br/>
              <w:t xml:space="preserve">  model_serving_endpoints:</w:t>
              <w:br/>
              <w:t xml:space="preserve">    # -----------------------------------------------------------------</w:t>
              <w:br/>
              <w:t xml:space="preserve">    # 1. External Frontier LLM Route with AI Gateway &amp; Rate Caps</w:t>
              <w:br/>
              <w:t xml:space="preserve">    # -----------------------------------------------------------------</w:t>
              <w:br/>
              <w:t xml:space="preserve">    aws_llm_gateway:</w:t>
              <w:br/>
              <w:t xml:space="preserve">      name: ${bundle.target}-enterprise-gateway</w:t>
              <w:br/>
              <w:t xml:space="preserve">      tags:</w:t>
              <w:br/>
              <w:t xml:space="preserve">        - key: cost_center</w:t>
              <w:br/>
              <w:t xml:space="preserve">          value: ${var.aws_cost_center}</w:t>
              <w:br/>
              <w:t xml:space="preserve">        - key: environment</w:t>
              <w:br/>
              <w:t xml:space="preserve">          value: ${var.environment}</w:t>
              <w:br/>
              <w:t xml:space="preserve">        - key: cloud_provider</w:t>
              <w:br/>
              <w:t xml:space="preserve">          value: aws</w:t>
              <w:br/>
              <w:t xml:space="preserve">      config:</w:t>
              <w:br/>
              <w:t xml:space="preserve">        served_entities:</w:t>
              <w:br/>
              <w:t xml:space="preserve">          - name: llama-route</w:t>
              <w:br/>
              <w:t xml:space="preserve">            external_model:</w:t>
              <w:br/>
              <w:t xml:space="preserve">              name: databricks-meta-llama-3-3-70b-instruct</w:t>
              <w:br/>
              <w:t xml:space="preserve">              provider: databricks-model-serving</w:t>
              <w:br/>
              <w:t xml:space="preserve">              task: llm/v1/chat</w:t>
              <w:br/>
              <w:t xml:space="preserve">        ai_gateway:</w:t>
              <w:br/>
              <w:t xml:space="preserve">          rate_limits:</w:t>
              <w:br/>
              <w:t xml:space="preserve">            - key: user</w:t>
              <w:br/>
              <w:t xml:space="preserve">              renewal_period: minute</w:t>
              <w:br/>
              <w:t xml:space="preserve">              calls: 60</w:t>
              <w:br/>
              <w:t xml:space="preserve">            - key: user</w:t>
              <w:br/>
              <w:t xml:space="preserve">              renewal_period: minute</w:t>
              <w:br/>
              <w:t xml:space="preserve">              tokens: 45000</w:t>
              <w:br/>
              <w:t xml:space="preserve">            - key: endpoint</w:t>
              <w:br/>
              <w:t xml:space="preserve">              renewal_period: minute</w:t>
              <w:br/>
              <w:t xml:space="preserve">              calls: 1500</w:t>
              <w:br/>
              <w:br/>
              <w:t xml:space="preserve">    # -----------------------------------------------------------------</w:t>
              <w:br/>
              <w:t xml:space="preserve">    # 2. Self-Hosted Custom Embedding / Small Classifier on EC2</w:t>
              <w:br/>
              <w:t xml:space="preserve">    # -----------------------------------------------------------------</w:t>
              <w:br/>
              <w:t xml:space="preserve">    aws_custom_classifier:</w:t>
              <w:br/>
              <w:t xml:space="preserve">      name: ${bundle.target}-custom-bert</w:t>
              <w:br/>
              <w:t xml:space="preserve">      tags:</w:t>
              <w:br/>
              <w:t xml:space="preserve">        - key: cost_center</w:t>
              <w:br/>
              <w:t xml:space="preserve">          value: ${var.aws_cost_center}</w:t>
              <w:br/>
              <w:t xml:space="preserve">        - key: environment</w:t>
              <w:br/>
              <w:t xml:space="preserve">          value: ${var.environment}</w:t>
              <w:br/>
              <w:t xml:space="preserve">      config:</w:t>
              <w:br/>
              <w:t xml:space="preserve">        served_entities:</w:t>
              <w:br/>
              <w:t xml:space="preserve">          - name: bert-classifier-entity</w:t>
              <w:br/>
              <w:t xml:space="preserve">            entity_name: ${bundle.target}_catalog.nlp_schema.custom_bert</w:t>
              <w:br/>
              <w:t xml:space="preserve">            entity_version: "1"</w:t>
              <w:br/>
              <w:t xml:space="preserve">            workload_size: Small</w:t>
              <w:br/>
              <w:t xml:space="preserve">            scale_to_zero_enabled: true</w:t>
            </w:r>
          </w:p>
        </w:tc>
      </w:tr>
    </w:tbl>
    <w:p>
      <w:pPr>
        <w:spacing w:before="0" w:after="80"/>
      </w:pPr>
    </w:p>
    <w:p>
      <w:pPr>
        <w:spacing w:before="0" w:after="120" w:line="288" w:lineRule="auto"/>
      </w:pPr>
      <w:r>
        <w:rPr>
          <w:rFonts w:ascii="Segoe UI" w:hAnsi="Segoe UI"/>
          <w:b/>
          <w:color w:val="0F172A"/>
          <w:sz w:val="21"/>
        </w:rPr>
        <w:t xml:space="preserve">Deployment Workflow: </w:t>
      </w:r>
      <w:r>
        <w:rPr>
          <w:rFonts w:ascii="Segoe UI" w:hAnsi="Segoe UI"/>
          <w:color w:val="334155"/>
          <w:sz w:val="21"/>
        </w:rPr>
        <w:t>Execute deployment through standard Databricks CLI commands:</w:t>
      </w:r>
    </w:p>
    <w:p>
      <w:pPr>
        <w:spacing w:before="120" w:after="40"/>
      </w:pPr>
      <w:r>
        <w:rPr>
          <w:rFonts w:ascii="Segoe UI" w:hAnsi="Segoe UI"/>
          <w:i/>
          <w:color w:val="64748B"/>
          <w:sz w:val="18"/>
        </w:rPr>
        <w:t>Databricks CLI commands for AWS deployment</w:t>
      </w:r>
    </w:p>
    <w:tbl>
      <w:tblPr>
        <w:tblW w:type="auto" w:w="0"/>
        <w:jc w:val="center"/>
        <w:tblLayout w:type="fixed"/>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7"/>
              </w:rPr>
              <w:t># 1. Validate DAB template syntax and bundle variables</w:t>
              <w:br/>
              <w:t>databricks bundle validate -t dev</w:t>
              <w:br/>
              <w:br/>
              <w:t># 2. Check deployment dry-run execution plan</w:t>
              <w:br/>
              <w:t>databricks bundle plan -t dev</w:t>
              <w:br/>
              <w:br/>
              <w:t># 3. Deploy to AWS Development Workspace</w:t>
              <w:br/>
              <w:t>databricks bundle deploy -t dev</w:t>
              <w:br/>
              <w:br/>
              <w:t># 4. Deploy to AWS Production Workspace via CI/CD (GitHub Actions / GitLab CI)</w:t>
              <w:br/>
              <w:t>databricks bundle deploy -t prod</w:t>
            </w:r>
          </w:p>
        </w:tc>
      </w:tr>
    </w:tbl>
    <w:p>
      <w:pPr>
        <w:spacing w:before="0" w:after="80"/>
      </w:pPr>
    </w:p>
    <w:p>
      <w:pPr>
        <w:pStyle w:val="Heading1"/>
        <w:spacing w:before="280" w:after="80"/>
      </w:pPr>
      <w:r>
        <w:rPr>
          <w:rFonts w:ascii="Segoe UI" w:hAnsi="Segoe UI"/>
          <w:b/>
          <w:color w:val="0F172A"/>
          <w:sz w:val="28"/>
        </w:rPr>
        <w:t>5. Advanced AWS Architecture &amp; Cost-Saving Field Notes</w:t>
      </w:r>
    </w:p>
    <w:p>
      <w:pPr>
        <w:spacing w:before="0" w:after="120" w:line="288" w:lineRule="auto"/>
      </w:pPr>
      <w:r>
        <w:rPr>
          <w:rFonts w:ascii="Segoe UI" w:hAnsi="Segoe UI"/>
          <w:color w:val="334155"/>
          <w:sz w:val="21"/>
        </w:rPr>
        <w:t>Operating Databricks on AWS introduces distinct architectural levers that don't exist on generic setups. Apply these seven field-tested principles to eliminate cloud waste:</w:t>
      </w: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6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Enforce Static Prompt Prefix Caching</w:t>
              <w:br/>
            </w:r>
            <w:r>
              <w:rPr>
                <w:rFonts w:ascii="Segoe UI" w:hAnsi="Segoe UI"/>
                <w:color w:val="334155"/>
                <w:sz w:val="19"/>
              </w:rPr>
              <w:t>Input tokens account for up to 80% of costs in document parsing and RAG. External providers and Mosaic Foundation endpoints support prefix caching. Structure prompts so system prompts, schemas, and context remain strictly at the top of the prompt string, with dynamic user inputs at the end. Cached prefix tokens receive a 50% to 90% discount on input rates.</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6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Implement Semantic Caching with Databricks Vector Search</w:t>
              <w:br/>
            </w:r>
            <w:r>
              <w:rPr>
                <w:rFonts w:ascii="Segoe UI" w:hAnsi="Segoe UI"/>
                <w:color w:val="334155"/>
                <w:sz w:val="19"/>
              </w:rPr>
              <w:t>Don't invoke the gateway for questions you answered three minutes ago. Place a lightweight Semantic Cache in front of the gateway using Databricks Vector Search backed by Amazon S3. If query cosine similarity exceeds 0.95, return the cached answer. This cuts latency to &lt;20ms and generates zero token spend.</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6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Avoid the GPU Default: CPU-First for Non-Generative Tasks</w:t>
              <w:br/>
            </w:r>
            <w:r>
              <w:rPr>
                <w:rFonts w:ascii="Segoe UI" w:hAnsi="Segoe UI"/>
                <w:color w:val="334155"/>
                <w:sz w:val="19"/>
              </w:rPr>
              <w:t>Small transformers, embedding models (bge-small), and classification pipelines rarely need AWS GPU nodes. Deploying on CPU instances (Small or Medium) avoids G5 (A10G) instances (~20 DBUs/hr) and high-end P4de (A100/H100) clusters (~600+ DBUs/hr), reducing compute spend by up to 90%.</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6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Automate Inference Table Maintenance on Amazon S3</w:t>
              <w:br/>
            </w:r>
            <w:r>
              <w:rPr>
                <w:rFonts w:ascii="Segoe UI" w:hAnsi="Segoe UI"/>
                <w:color w:val="334155"/>
                <w:sz w:val="19"/>
              </w:rPr>
              <w:t>Inference tables capture all JSON payloads into a Delta table on S3. In high-traffic environments, this table balloons into millions of uncompacted JSON files. Schedule a weekly Databricks Job to delete entries older than 30 days and run 'VACUUM catalog.schema.inference_table RETAIN 168 HOURS' to avoid paying perpetual S3 storage fees.</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6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Run Batch Asynchronous Inference via Jobs Compute (ai_query)</w:t>
              <w:br/>
            </w:r>
            <w:r>
              <w:rPr>
                <w:rFonts w:ascii="Segoe UI" w:hAnsi="Segoe UI"/>
                <w:color w:val="334155"/>
                <w:sz w:val="19"/>
              </w:rPr>
              <w:t>Real-time endpoints carry an expensive SLA premium for immediate HTTP latency. If you need to score 500,000 customer reviews or historical records, never loop over a REST endpoint. Use ai_query() inside a Databricks Job running on automated spot instances. Jobs Compute runs at ~$0.15/DBU vs. ~$0.55+/DBU for Model Serving.</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6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Enforce Strict max_tokens at the Gateway &amp; Client Layer</w:t>
              <w:br/>
            </w:r>
            <w:r>
              <w:rPr>
                <w:rFonts w:ascii="Segoe UI" w:hAnsi="Segoe UI"/>
                <w:color w:val="334155"/>
                <w:sz w:val="19"/>
              </w:rPr>
              <w:t>Frontier models default to 4,096 or 8,192 tokens per completion if max_tokens is unspecified. When an agent experiences a reasoning hallucination or infinite loop, it will consume the entire token window. Force hard client-side boundaries: 50 tokens for classifications and 250 tokens for summaries.</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6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Build an Automated 'Orphan Endpoint Reaper' with AWS EventBridge</w:t>
              <w:br/>
            </w:r>
            <w:r>
              <w:rPr>
                <w:rFonts w:ascii="Segoe UI" w:hAnsi="Segoe UI"/>
                <w:color w:val="334155"/>
                <w:sz w:val="19"/>
              </w:rPr>
              <w:t>Developers often spin up dedicated GPU endpoints for afternoon tests and forget to delete them. Schedule a lightweight Databricks Job or AWS Lambda via EventBridge that inspects system.billing.usage. If an endpoint with scale-to-zero disabled has had zero requests over the past 7 days, automatically delete it via the Databricks Python SDK.</w:t>
            </w:r>
          </w:p>
        </w:tc>
      </w:tr>
    </w:tbl>
    <w:p>
      <w:pPr>
        <w:spacing w:before="0" w:after="8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