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293B"/>
          <w:sz w:val="48"/>
        </w:rPr>
        <w:t>Mastering Databricks AI Gateway</w:t>
      </w:r>
    </w:p>
    <w:p>
      <w:pPr>
        <w:spacing w:before="0" w:after="280"/>
      </w:pPr>
      <w:r>
        <w:rPr>
          <w:rFonts w:ascii="Calibri" w:hAnsi="Calibri"/>
          <w:color w:val="2563EB"/>
          <w:sz w:val="26"/>
        </w:rPr>
        <w:t>A Practical Playbook for Operational Excellence, Sane Budgets, and Automated Deployments</w:t>
      </w:r>
    </w:p>
    <w:p>
      <w:pPr>
        <w:spacing w:before="0" w:after="120" w:line="288" w:lineRule="auto"/>
      </w:pPr>
      <w:r>
        <w:rPr>
          <w:rFonts w:ascii="Calibri" w:hAnsi="Calibri"/>
          <w:color w:val="334155"/>
          <w:sz w:val="22"/>
        </w:rPr>
        <w:t>Running LLMs in production can quickly become unpredictable. An unchecked retry loop in an AI agent, a team spinning up multi-GPU clusters for simple test queries, or paying full price for identical system prompts can drain an engineering budget in days. Databricks AI Gateway and Mosaic AI Model Serving give you the tools to tame this complexity, but only if configured with intentional guardrails. Here is a clear, conversational field guide to running reliable models while keeping your cloud bills under control.</w:t>
      </w:r>
    </w:p>
    <w:p>
      <w:pPr>
        <w:pStyle w:val="Heading1"/>
        <w:spacing w:before="280" w:after="80"/>
      </w:pPr>
      <w:r>
        <w:rPr>
          <w:rFonts w:ascii="Calibri" w:hAnsi="Calibri"/>
          <w:b/>
          <w:color w:val="1E293B"/>
          <w:sz w:val="30"/>
        </w:rPr>
        <w:t>1. Four Operational Habits That Save Headaches</w:t>
      </w:r>
    </w:p>
    <w:p>
      <w:pPr>
        <w:spacing w:before="0" w:after="120" w:line="288" w:lineRule="auto"/>
      </w:pPr>
      <w:r>
        <w:rPr>
          <w:rFonts w:ascii="Calibri" w:hAnsi="Calibri"/>
          <w:color w:val="334155"/>
          <w:sz w:val="22"/>
        </w:rPr>
        <w:t>Before touching cost toggles, make sure your models have the right protective layer. A resilient AI endpoint behaves like any critical production API: it handles failures gracefully and protects itself from misuse.</w:t>
      </w:r>
    </w:p>
    <w:p>
      <w:pPr>
        <w:pStyle w:val="ListBullet"/>
        <w:spacing w:before="20" w:after="60" w:line="276" w:lineRule="auto"/>
      </w:pPr>
      <w:r>
        <w:rPr>
          <w:rFonts w:ascii="Calibri" w:hAnsi="Calibri"/>
          <w:b/>
          <w:color w:val="1E293B"/>
          <w:sz w:val="21"/>
        </w:rPr>
        <w:t xml:space="preserve">Set safety policies at the gateway: </w:t>
      </w:r>
      <w:r>
        <w:rPr>
          <w:rFonts w:ascii="Calibri" w:hAnsi="Calibri"/>
          <w:color w:val="334155"/>
          <w:sz w:val="21"/>
        </w:rPr>
        <w:t>Don't let each microservice invent its own guardrails. Attach input/output moderation policies right at the gateway so prompt injection attempts and PII leaks are blocked before ever touching your model.</w:t>
      </w:r>
    </w:p>
    <w:p>
      <w:pPr>
        <w:pStyle w:val="ListBullet"/>
        <w:spacing w:before="20" w:after="60" w:line="276" w:lineRule="auto"/>
      </w:pPr>
      <w:r>
        <w:rPr>
          <w:rFonts w:ascii="Calibri" w:hAnsi="Calibri"/>
          <w:b/>
          <w:color w:val="1E293B"/>
          <w:sz w:val="21"/>
        </w:rPr>
        <w:t xml:space="preserve">Configure automatic provider fallback: </w:t>
      </w:r>
      <w:r>
        <w:rPr>
          <w:rFonts w:ascii="Calibri" w:hAnsi="Calibri"/>
          <w:color w:val="334155"/>
          <w:sz w:val="21"/>
        </w:rPr>
        <w:t>External LLM APIs suffer outages. Configure routes so that if your primary model (e.g., Azure OpenAI) returns a 5xx or times out, the gateway automatically redirects traffic to a fallback provider (e.g., Anthropic or an open-source model) seamlessly.</w:t>
      </w:r>
    </w:p>
    <w:p>
      <w:pPr>
        <w:pStyle w:val="ListBullet"/>
        <w:spacing w:before="20" w:after="60" w:line="276" w:lineRule="auto"/>
      </w:pPr>
      <w:r>
        <w:rPr>
          <w:rFonts w:ascii="Calibri" w:hAnsi="Calibri"/>
          <w:b/>
          <w:color w:val="1E293B"/>
          <w:sz w:val="21"/>
        </w:rPr>
        <w:t xml:space="preserve">Use Inference Tables like flight recorders: </w:t>
      </w:r>
      <w:r>
        <w:rPr>
          <w:rFonts w:ascii="Calibri" w:hAnsi="Calibri"/>
          <w:color w:val="334155"/>
          <w:sz w:val="21"/>
        </w:rPr>
        <w:t>Toggle on inference tables to stream prompts and completions into a Unity Catalog Delta table. Hook this to Lakehouse Monitoring to keep tabs on latency drift, token usage trends, and error spikes without writing custom telemetry code.</w:t>
      </w:r>
    </w:p>
    <w:p>
      <w:pPr>
        <w:pStyle w:val="ListBullet"/>
        <w:spacing w:before="20" w:after="60" w:line="276" w:lineRule="auto"/>
      </w:pPr>
      <w:r>
        <w:rPr>
          <w:rFonts w:ascii="Calibri" w:hAnsi="Calibri"/>
          <w:b/>
          <w:color w:val="1E293B"/>
          <w:sz w:val="21"/>
        </w:rPr>
        <w:t xml:space="preserve">Control access through Unity Catalog: </w:t>
      </w:r>
      <w:r>
        <w:rPr>
          <w:rFonts w:ascii="Calibri" w:hAnsi="Calibri"/>
          <w:color w:val="334155"/>
          <w:sz w:val="21"/>
        </w:rPr>
        <w:t>Avoid scattering API tokens across internal repos. Use Unity Catalog's permissions (ABAC) so team members and service principals only query the endpoints they have legitimate business reasons to access.</w:t>
      </w:r>
    </w:p>
    <w:p>
      <w:pPr>
        <w:pStyle w:val="Heading1"/>
        <w:spacing w:before="320" w:after="80"/>
      </w:pPr>
      <w:r>
        <w:rPr>
          <w:rFonts w:ascii="Calibri" w:hAnsi="Calibri"/>
          <w:b/>
          <w:color w:val="1E293B"/>
          <w:sz w:val="30"/>
        </w:rPr>
        <w:t>2. The Big Levers: Five Ways to Cut Spending Immediately</w:t>
      </w:r>
    </w:p>
    <w:p>
      <w:pPr>
        <w:spacing w:before="0" w:after="120" w:line="288" w:lineRule="auto"/>
      </w:pPr>
      <w:r>
        <w:rPr>
          <w:rFonts w:ascii="Calibri" w:hAnsi="Calibri"/>
          <w:color w:val="334155"/>
          <w:sz w:val="22"/>
        </w:rPr>
        <w:t>These five techniques address the largest sources of waste in model serving:</w:t>
      </w:r>
    </w:p>
    <w:tbl>
      <w:tblPr>
        <w:tblW w:type="auto" w:w="0"/>
        <w:jc w:val="center"/>
        <w:tblLayout w:type="fixed"/>
        <w:tblLook w:firstColumn="1" w:firstRow="1" w:lastColumn="0" w:lastRow="0" w:noHBand="0" w:noVBand="1" w:val="04A0"/>
      </w:tblPr>
      <w:tblGrid>
        <w:gridCol w:w="2592"/>
        <w:gridCol w:w="3456"/>
        <w:gridCol w:w="3312"/>
      </w:tblGrid>
      <w:tr>
        <w:tc>
          <w:tcPr>
            <w:tcW w:type="dxa" w:w="3120"/>
            <w:shd w:fill="1E293B"/>
            <w:tcMar>
              <w:top w:w="80" w:type="dxa"/>
              <w:bottom w:w="80" w:type="dxa"/>
              <w:left w:w="100" w:type="dxa"/>
              <w:right w:w="100" w:type="dxa"/>
            </w:tcMar>
          </w:tcPr>
          <w:p>
            <w:r>
              <w:rPr>
                <w:rFonts w:ascii="Calibri" w:hAnsi="Calibri"/>
                <w:b/>
                <w:color w:val="FFFFFF"/>
                <w:sz w:val="20"/>
              </w:rPr>
              <w:t>Strategy</w:t>
            </w:r>
          </w:p>
        </w:tc>
        <w:tc>
          <w:tcPr>
            <w:tcW w:type="dxa" w:w="3120"/>
            <w:shd w:fill="1E293B"/>
            <w:tcMar>
              <w:top w:w="80" w:type="dxa"/>
              <w:bottom w:w="80" w:type="dxa"/>
              <w:left w:w="100" w:type="dxa"/>
              <w:right w:w="100" w:type="dxa"/>
            </w:tcMar>
          </w:tcPr>
          <w:p>
            <w:r>
              <w:rPr>
                <w:rFonts w:ascii="Calibri" w:hAnsi="Calibri"/>
                <w:b/>
                <w:color w:val="FFFFFF"/>
                <w:sz w:val="20"/>
              </w:rPr>
              <w:t>How It Works</w:t>
            </w:r>
          </w:p>
        </w:tc>
        <w:tc>
          <w:tcPr>
            <w:tcW w:type="dxa" w:w="3120"/>
            <w:shd w:fill="1E293B"/>
            <w:tcMar>
              <w:top w:w="80" w:type="dxa"/>
              <w:bottom w:w="80" w:type="dxa"/>
              <w:left w:w="100" w:type="dxa"/>
              <w:right w:w="100" w:type="dxa"/>
            </w:tcMar>
          </w:tcPr>
          <w:p>
            <w:r>
              <w:rPr>
                <w:rFonts w:ascii="Calibri" w:hAnsi="Calibri"/>
                <w:b/>
                <w:color w:val="FFFFFF"/>
                <w:sz w:val="20"/>
              </w:rPr>
              <w:t>When to Use It</w:t>
            </w:r>
          </w:p>
        </w:tc>
      </w:tr>
      <w:tr>
        <w:tc>
          <w:tcPr>
            <w:tcW w:type="dxa" w:w="3120"/>
            <w:shd w:fill="FFFFFF"/>
            <w:tcMar>
              <w:top w:w="80" w:type="dxa"/>
              <w:bottom w:w="80" w:type="dxa"/>
              <w:left w:w="100" w:type="dxa"/>
              <w:right w:w="100" w:type="dxa"/>
            </w:tcMar>
          </w:tcPr>
          <w:p>
            <w:pPr>
              <w:spacing w:line="276" w:lineRule="auto"/>
            </w:pPr>
            <w:r>
              <w:rPr>
                <w:rFonts w:ascii="Calibri" w:hAnsi="Calibri"/>
                <w:b/>
                <w:color w:val="1E293B"/>
                <w:sz w:val="19"/>
              </w:rPr>
              <w:t>Rate Limiting &amp; Token Caps</w:t>
            </w:r>
          </w:p>
        </w:tc>
        <w:tc>
          <w:tcPr>
            <w:tcW w:type="dxa" w:w="3120"/>
            <w:shd w:fill="FFFFFF"/>
            <w:tcMar>
              <w:top w:w="80" w:type="dxa"/>
              <w:bottom w:w="80" w:type="dxa"/>
              <w:left w:w="100" w:type="dxa"/>
              <w:right w:w="100" w:type="dxa"/>
            </w:tcMar>
          </w:tcPr>
          <w:p>
            <w:pPr>
              <w:spacing w:line="276" w:lineRule="auto"/>
            </w:pPr>
            <w:r>
              <w:rPr>
                <w:rFonts w:ascii="Calibri" w:hAnsi="Calibri"/>
                <w:color w:val="334155"/>
                <w:sz w:val="19"/>
              </w:rPr>
              <w:t>Puts hard speed limits on requests and tokens per minute per user or endpoint.</w:t>
            </w:r>
          </w:p>
        </w:tc>
        <w:tc>
          <w:tcPr>
            <w:tcW w:type="dxa" w:w="3120"/>
            <w:shd w:fill="FFFFFF"/>
            <w:tcMar>
              <w:top w:w="80" w:type="dxa"/>
              <w:bottom w:w="80" w:type="dxa"/>
              <w:left w:w="100" w:type="dxa"/>
              <w:right w:w="100" w:type="dxa"/>
            </w:tcMar>
          </w:tcPr>
          <w:p>
            <w:pPr>
              <w:spacing w:line="276" w:lineRule="auto"/>
            </w:pPr>
            <w:r>
              <w:rPr>
                <w:rFonts w:ascii="Calibri" w:hAnsi="Calibri"/>
                <w:color w:val="334155"/>
                <w:sz w:val="19"/>
              </w:rPr>
              <w:t>Stops infinite agent loops, buggy recursion, and denial-of-wallet surprises.</w:t>
            </w:r>
          </w:p>
        </w:tc>
      </w:tr>
      <w:tr>
        <w:tc>
          <w:tcPr>
            <w:tcW w:type="dxa" w:w="3120"/>
            <w:shd w:fill="F8FAFC"/>
            <w:tcMar>
              <w:top w:w="80" w:type="dxa"/>
              <w:bottom w:w="80" w:type="dxa"/>
              <w:left w:w="100" w:type="dxa"/>
              <w:right w:w="100" w:type="dxa"/>
            </w:tcMar>
          </w:tcPr>
          <w:p>
            <w:pPr>
              <w:spacing w:line="276" w:lineRule="auto"/>
            </w:pPr>
            <w:r>
              <w:rPr>
                <w:rFonts w:ascii="Calibri" w:hAnsi="Calibri"/>
                <w:b/>
                <w:color w:val="1E293B"/>
                <w:sz w:val="19"/>
              </w:rPr>
              <w:t>Scale-to-Zero Compute</w:t>
            </w:r>
          </w:p>
        </w:tc>
        <w:tc>
          <w:tcPr>
            <w:tcW w:type="dxa" w:w="3120"/>
            <w:shd w:fill="F8FAFC"/>
            <w:tcMar>
              <w:top w:w="80" w:type="dxa"/>
              <w:bottom w:w="80" w:type="dxa"/>
              <w:left w:w="100" w:type="dxa"/>
              <w:right w:w="100" w:type="dxa"/>
            </w:tcMar>
          </w:tcPr>
          <w:p>
            <w:pPr>
              <w:spacing w:line="276" w:lineRule="auto"/>
            </w:pPr>
            <w:r>
              <w:rPr>
                <w:rFonts w:ascii="Calibri" w:hAnsi="Calibri"/>
                <w:color w:val="334155"/>
                <w:sz w:val="19"/>
              </w:rPr>
              <w:t>Powers down dedicated model servers completely when idle for 20 minutes.</w:t>
            </w:r>
          </w:p>
        </w:tc>
        <w:tc>
          <w:tcPr>
            <w:tcW w:type="dxa" w:w="3120"/>
            <w:shd w:fill="F8FAFC"/>
            <w:tcMar>
              <w:top w:w="80" w:type="dxa"/>
              <w:bottom w:w="80" w:type="dxa"/>
              <w:left w:w="100" w:type="dxa"/>
              <w:right w:w="100" w:type="dxa"/>
            </w:tcMar>
          </w:tcPr>
          <w:p>
            <w:pPr>
              <w:spacing w:line="276" w:lineRule="auto"/>
            </w:pPr>
            <w:r>
              <w:rPr>
                <w:rFonts w:ascii="Calibri" w:hAnsi="Calibri"/>
                <w:color w:val="334155"/>
                <w:sz w:val="19"/>
              </w:rPr>
              <w:t>Development workspaces, staging environments, and spiky internal tools.</w:t>
            </w:r>
          </w:p>
        </w:tc>
      </w:tr>
      <w:tr>
        <w:tc>
          <w:tcPr>
            <w:tcW w:type="dxa" w:w="3120"/>
            <w:shd w:fill="FFFFFF"/>
            <w:tcMar>
              <w:top w:w="80" w:type="dxa"/>
              <w:bottom w:w="80" w:type="dxa"/>
              <w:left w:w="100" w:type="dxa"/>
              <w:right w:w="100" w:type="dxa"/>
            </w:tcMar>
          </w:tcPr>
          <w:p>
            <w:pPr>
              <w:spacing w:line="276" w:lineRule="auto"/>
            </w:pPr>
            <w:r>
              <w:rPr>
                <w:rFonts w:ascii="Calibri" w:hAnsi="Calibri"/>
                <w:b/>
                <w:color w:val="1E293B"/>
                <w:sz w:val="19"/>
              </w:rPr>
              <w:t>Pay-Per-Token vs. Provisioned</w:t>
            </w:r>
          </w:p>
        </w:tc>
        <w:tc>
          <w:tcPr>
            <w:tcW w:type="dxa" w:w="3120"/>
            <w:shd w:fill="FFFFFF"/>
            <w:tcMar>
              <w:top w:w="80" w:type="dxa"/>
              <w:bottom w:w="80" w:type="dxa"/>
              <w:left w:w="100" w:type="dxa"/>
              <w:right w:w="100" w:type="dxa"/>
            </w:tcMar>
          </w:tcPr>
          <w:p>
            <w:pPr>
              <w:spacing w:line="276" w:lineRule="auto"/>
            </w:pPr>
            <w:r>
              <w:rPr>
                <w:rFonts w:ascii="Calibri" w:hAnsi="Calibri"/>
                <w:color w:val="334155"/>
                <w:sz w:val="19"/>
              </w:rPr>
              <w:t>Uses serverless per-token billing for variable traffic; reserves dedicated capacity for 24/7 load.</w:t>
            </w:r>
          </w:p>
        </w:tc>
        <w:tc>
          <w:tcPr>
            <w:tcW w:type="dxa" w:w="3120"/>
            <w:shd w:fill="FFFFFF"/>
            <w:tcMar>
              <w:top w:w="80" w:type="dxa"/>
              <w:bottom w:w="80" w:type="dxa"/>
              <w:left w:w="100" w:type="dxa"/>
              <w:right w:w="100" w:type="dxa"/>
            </w:tcMar>
          </w:tcPr>
          <w:p>
            <w:pPr>
              <w:spacing w:line="276" w:lineRule="auto"/>
            </w:pPr>
            <w:r>
              <w:rPr>
                <w:rFonts w:ascii="Calibri" w:hAnsi="Calibri"/>
                <w:color w:val="334155"/>
                <w:sz w:val="19"/>
              </w:rPr>
              <w:t>Low/bursty workloads (per-token) vs. steady, high-throughput enterprise backbones (provisioned).</w:t>
            </w:r>
          </w:p>
        </w:tc>
      </w:tr>
      <w:tr>
        <w:tc>
          <w:tcPr>
            <w:tcW w:type="dxa" w:w="3120"/>
            <w:shd w:fill="F8FAFC"/>
            <w:tcMar>
              <w:top w:w="80" w:type="dxa"/>
              <w:bottom w:w="80" w:type="dxa"/>
              <w:left w:w="100" w:type="dxa"/>
              <w:right w:w="100" w:type="dxa"/>
            </w:tcMar>
          </w:tcPr>
          <w:p>
            <w:pPr>
              <w:spacing w:line="276" w:lineRule="auto"/>
            </w:pPr>
            <w:r>
              <w:rPr>
                <w:rFonts w:ascii="Calibri" w:hAnsi="Calibri"/>
                <w:b/>
                <w:color w:val="1E293B"/>
                <w:sz w:val="19"/>
              </w:rPr>
              <w:t>Model Tier Downgrading (SLMs)</w:t>
            </w:r>
          </w:p>
        </w:tc>
        <w:tc>
          <w:tcPr>
            <w:tcW w:type="dxa" w:w="3120"/>
            <w:shd w:fill="F8FAFC"/>
            <w:tcMar>
              <w:top w:w="80" w:type="dxa"/>
              <w:bottom w:w="80" w:type="dxa"/>
              <w:left w:w="100" w:type="dxa"/>
              <w:right w:w="100" w:type="dxa"/>
            </w:tcMar>
          </w:tcPr>
          <w:p>
            <w:pPr>
              <w:spacing w:line="276" w:lineRule="auto"/>
            </w:pPr>
            <w:r>
              <w:rPr>
                <w:rFonts w:ascii="Calibri" w:hAnsi="Calibri"/>
                <w:color w:val="334155"/>
                <w:sz w:val="19"/>
              </w:rPr>
              <w:t>Routes simple extraction, classification, and routing to smaller, fast models.</w:t>
            </w:r>
          </w:p>
        </w:tc>
        <w:tc>
          <w:tcPr>
            <w:tcW w:type="dxa" w:w="3120"/>
            <w:shd w:fill="F8FAFC"/>
            <w:tcMar>
              <w:top w:w="80" w:type="dxa"/>
              <w:bottom w:w="80" w:type="dxa"/>
              <w:left w:w="100" w:type="dxa"/>
              <w:right w:w="100" w:type="dxa"/>
            </w:tcMar>
          </w:tcPr>
          <w:p>
            <w:pPr>
              <w:spacing w:line="276" w:lineRule="auto"/>
            </w:pPr>
            <w:r>
              <w:rPr>
                <w:rFonts w:ascii="Calibri" w:hAnsi="Calibri"/>
                <w:color w:val="334155"/>
                <w:sz w:val="19"/>
              </w:rPr>
              <w:t>Multi-agent pipelines where using GPT-4 or Claude 3.5 Sonnet for trivial steps burns cash.</w:t>
            </w:r>
          </w:p>
        </w:tc>
      </w:tr>
      <w:tr>
        <w:tc>
          <w:tcPr>
            <w:tcW w:type="dxa" w:w="3120"/>
            <w:shd w:fill="FFFFFF"/>
            <w:tcMar>
              <w:top w:w="80" w:type="dxa"/>
              <w:bottom w:w="80" w:type="dxa"/>
              <w:left w:w="100" w:type="dxa"/>
              <w:right w:w="100" w:type="dxa"/>
            </w:tcMar>
          </w:tcPr>
          <w:p>
            <w:pPr>
              <w:spacing w:line="276" w:lineRule="auto"/>
            </w:pPr>
            <w:r>
              <w:rPr>
                <w:rFonts w:ascii="Calibri" w:hAnsi="Calibri"/>
                <w:b/>
                <w:color w:val="1E293B"/>
                <w:sz w:val="19"/>
              </w:rPr>
              <w:t>Tagging &amp; System Tables</w:t>
            </w:r>
          </w:p>
        </w:tc>
        <w:tc>
          <w:tcPr>
            <w:tcW w:type="dxa" w:w="3120"/>
            <w:shd w:fill="FFFFFF"/>
            <w:tcMar>
              <w:top w:w="80" w:type="dxa"/>
              <w:bottom w:w="80" w:type="dxa"/>
              <w:left w:w="100" w:type="dxa"/>
              <w:right w:w="100" w:type="dxa"/>
            </w:tcMar>
          </w:tcPr>
          <w:p>
            <w:pPr>
              <w:spacing w:line="276" w:lineRule="auto"/>
            </w:pPr>
            <w:r>
              <w:rPr>
                <w:rFonts w:ascii="Calibri" w:hAnsi="Calibri"/>
                <w:color w:val="334155"/>
                <w:sz w:val="19"/>
              </w:rPr>
              <w:t>Applies team and cost center tags to track spend in system.billing.usage.</w:t>
            </w:r>
          </w:p>
        </w:tc>
        <w:tc>
          <w:tcPr>
            <w:tcW w:type="dxa" w:w="3120"/>
            <w:shd w:fill="FFFFFF"/>
            <w:tcMar>
              <w:top w:w="80" w:type="dxa"/>
              <w:bottom w:w="80" w:type="dxa"/>
              <w:left w:w="100" w:type="dxa"/>
              <w:right w:w="100" w:type="dxa"/>
            </w:tcMar>
          </w:tcPr>
          <w:p>
            <w:pPr>
              <w:spacing w:line="276" w:lineRule="auto"/>
            </w:pPr>
            <w:r>
              <w:rPr>
                <w:rFonts w:ascii="Calibri" w:hAnsi="Calibri"/>
                <w:color w:val="334155"/>
                <w:sz w:val="19"/>
              </w:rPr>
              <w:t>Clear internal chargebacks, automated budget alerts, and team-level accountability.</w:t>
            </w:r>
          </w:p>
        </w:tc>
      </w:tr>
    </w:tbl>
    <w:p>
      <w:pPr>
        <w:spacing w:before="40" w:after="40"/>
      </w:pPr>
    </w:p>
    <w:p>
      <w:pPr>
        <w:pStyle w:val="Heading1"/>
        <w:spacing w:before="280" w:after="80"/>
      </w:pPr>
      <w:r>
        <w:rPr>
          <w:rFonts w:ascii="Calibri" w:hAnsi="Calibri"/>
          <w:b/>
          <w:color w:val="1E293B"/>
          <w:sz w:val="30"/>
        </w:rPr>
        <w:t>3. Concrete Examples: Setting It Up</w:t>
      </w:r>
    </w:p>
    <w:p>
      <w:pPr>
        <w:spacing w:before="0" w:after="120" w:line="288" w:lineRule="auto"/>
      </w:pPr>
      <w:r>
        <w:rPr>
          <w:rFonts w:ascii="Calibri" w:hAnsi="Calibri"/>
          <w:color w:val="334155"/>
          <w:sz w:val="22"/>
        </w:rPr>
        <w:t>Here is how you actually configure these safeguards in practice—whether you use the API, SQL queries, or automation scripts.</w:t>
      </w:r>
    </w:p>
    <w:p>
      <w:pPr>
        <w:spacing w:before="0" w:after="120" w:line="288" w:lineRule="auto"/>
      </w:pPr>
      <w:r>
        <w:rPr>
          <w:rFonts w:ascii="Calibri" w:hAnsi="Calibri"/>
          <w:b/>
          <w:color w:val="1E293B"/>
          <w:sz w:val="22"/>
        </w:rPr>
        <w:t xml:space="preserve">Limiting Token &amp; Call Spikes: </w:t>
      </w:r>
      <w:r>
        <w:rPr>
          <w:rFonts w:ascii="Calibri" w:hAnsi="Calibri"/>
          <w:color w:val="334155"/>
          <w:sz w:val="22"/>
        </w:rPr>
        <w:t>You can cap both total API calls and total tokens consumed per minute. When an agent gets stuck in a loop, it hits an HTTP 429 error instead of a $5,000 credit card bill:</w:t>
      </w:r>
    </w:p>
    <w:p>
      <w:pPr>
        <w:spacing w:before="120" w:after="40"/>
      </w:pPr>
      <w:r>
        <w:rPr>
          <w:rFonts w:ascii="Calibri" w:hAnsi="Calibri"/>
          <w:i/>
          <w:color w:val="64748B"/>
          <w:sz w:val="19"/>
        </w:rPr>
        <w:t>Endpoint configuration payload (REST API or DAB definition)</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8"/>
              </w:rPr>
              <w:t>{</w:t>
              <w:br/>
              <w:t xml:space="preserve">  "name": "enterprise-gateway-endpoint",</w:t>
              <w:br/>
              <w:t xml:space="preserve">  "ai_gateway": {</w:t>
              <w:br/>
              <w:t xml:space="preserve">    "rate_limits": [</w:t>
              <w:br/>
              <w:t xml:space="preserve">      { "key": "user", "renewal_period": "minute", "calls": 60 },</w:t>
              <w:br/>
              <w:t xml:space="preserve">      { "key": "user", "renewal_period": "minute", "tokens": 40000 },</w:t>
              <w:br/>
              <w:t xml:space="preserve">      { "key": "endpoint", "renewal_period": "minute", "calls": 1200 }</w:t>
              <w:br/>
              <w:t xml:space="preserve">    ]</w:t>
              <w:br/>
              <w:t xml:space="preserve">  }</w:t>
              <w:br/>
              <w:t>}</w:t>
            </w:r>
          </w:p>
        </w:tc>
      </w:tr>
    </w:tbl>
    <w:p>
      <w:pPr>
        <w:spacing w:before="0" w:after="80"/>
      </w:pPr>
    </w:p>
    <w:p>
      <w:pPr>
        <w:spacing w:before="0" w:after="120" w:line="288" w:lineRule="auto"/>
      </w:pPr>
      <w:r>
        <w:rPr>
          <w:rFonts w:ascii="Calibri" w:hAnsi="Calibri"/>
          <w:b/>
          <w:color w:val="1E293B"/>
          <w:sz w:val="22"/>
        </w:rPr>
        <w:t xml:space="preserve">Enabling Scale-to-Zero: </w:t>
      </w:r>
      <w:r>
        <w:rPr>
          <w:rFonts w:ascii="Calibri" w:hAnsi="Calibri"/>
          <w:color w:val="334155"/>
          <w:sz w:val="22"/>
        </w:rPr>
        <w:t>If your data science team deploys a custom fine-tuned model for occasional use, make sure it sleeps when nobody is using it. When active, it spins up quickly; when quiet for 20 minutes, compute drops to 0 DBUs: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8"/>
              </w:rPr>
              <w:t>{</w:t>
              <w:br/>
              <w:t xml:space="preserve">  "served_entities": [</w:t>
              <w:br/>
              <w:t xml:space="preserve">    {</w:t>
              <w:br/>
              <w:t xml:space="preserve">      "name": "custom-model-entity",</w:t>
              <w:br/>
              <w:t xml:space="preserve">      "entity_name": "prod_catalog.nlp.custom_bert",</w:t>
              <w:br/>
              <w:t xml:space="preserve">      "entity_version": "1",</w:t>
              <w:br/>
              <w:t xml:space="preserve">      "scale_to_zero_enabled": true,</w:t>
              <w:br/>
              <w:t xml:space="preserve">      "workload_size": "Small"</w:t>
              <w:br/>
              <w:t xml:space="preserve">    }</w:t>
              <w:br/>
              <w:t xml:space="preserve">  ]</w:t>
              <w:br/>
              <w:t>}</w:t>
            </w:r>
          </w:p>
        </w:tc>
      </w:tr>
    </w:tbl>
    <w:p>
      <w:pPr>
        <w:spacing w:before="0" w:after="80"/>
      </w:pPr>
    </w:p>
    <w:p>
      <w:pPr>
        <w:spacing w:before="0" w:after="120" w:line="288" w:lineRule="auto"/>
      </w:pPr>
      <w:r>
        <w:rPr>
          <w:rFonts w:ascii="Calibri" w:hAnsi="Calibri"/>
          <w:b/>
          <w:color w:val="1E293B"/>
          <w:sz w:val="22"/>
        </w:rPr>
        <w:t xml:space="preserve">Tracking Daily Spend by Cost Center: </w:t>
      </w:r>
      <w:r>
        <w:rPr>
          <w:rFonts w:ascii="Calibri" w:hAnsi="Calibri"/>
          <w:color w:val="334155"/>
          <w:sz w:val="22"/>
        </w:rPr>
        <w:t>Don't wait for your monthly cloud invoice to find out which team spent the most. Run this query in Databricks SQL against system billing tables to see exactly which endpoints and cost centers are driving usage:</w:t>
      </w:r>
    </w:p>
    <w:p>
      <w:pPr>
        <w:spacing w:before="120" w:after="40"/>
      </w:pPr>
      <w:r>
        <w:rPr>
          <w:rFonts w:ascii="Calibri" w:hAnsi="Calibri"/>
          <w:i/>
          <w:color w:val="64748B"/>
          <w:sz w:val="19"/>
        </w:rPr>
        <w:t>Databricks SQL query for cost visibility</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8"/>
              </w:rPr>
              <w:t xml:space="preserve">SELECT </w:t>
              <w:br/>
              <w:t xml:space="preserve">    usage_date,</w:t>
              <w:br/>
              <w:t xml:space="preserve">    custom_tags['cost_center'] AS cost_center,</w:t>
              <w:br/>
              <w:t xml:space="preserve">    usage_metadata.endpoint_name AS endpoint_name,</w:t>
              <w:br/>
              <w:t xml:space="preserve">    SUM(usage_quantity) AS total_dbus</w:t>
              <w:br/>
              <w:t>FROM system.billing.usage</w:t>
              <w:br/>
              <w:t>WHERE billing_origin_product = 'MODEL_SERVING'</w:t>
              <w:br/>
              <w:t>GROUP BY 1, 2, 3</w:t>
              <w:br/>
              <w:t>ORDER BY total_dbus DESC;</w:t>
            </w:r>
          </w:p>
        </w:tc>
      </w:tr>
    </w:tbl>
    <w:p>
      <w:pPr>
        <w:spacing w:before="0" w:after="80"/>
      </w:pPr>
    </w:p>
    <w:p>
      <w:pPr>
        <w:pStyle w:val="Heading1"/>
        <w:spacing w:before="280" w:after="80"/>
      </w:pPr>
      <w:r>
        <w:rPr>
          <w:rFonts w:ascii="Calibri" w:hAnsi="Calibri"/>
          <w:b/>
          <w:color w:val="1E293B"/>
          <w:sz w:val="30"/>
        </w:rPr>
        <w:t>4. Automating with Databricks Asset Bundles (DABs)</w:t>
      </w:r>
    </w:p>
    <w:p>
      <w:pPr>
        <w:spacing w:before="0" w:after="120" w:line="288" w:lineRule="auto"/>
      </w:pPr>
      <w:r>
        <w:rPr>
          <w:rFonts w:ascii="Calibri" w:hAnsi="Calibri"/>
          <w:color w:val="334155"/>
          <w:sz w:val="22"/>
        </w:rPr>
        <w:t>Configuring endpoints through the UI is fine for experimentation, but production requires version-controlled, repeatable deployments. Databricks Asset Bundles (DABs) let you store your endpoint architecture and policies in Git alongside your code.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left w:val="single" w:sz="24" w:space="0" w:color="2563EB"/>
              <w:bottom w:val="none"/>
              <w:right w:val="none"/>
            </w:tcBorders>
          </w:tcPr>
          <w:p>
            <w:pPr>
              <w:spacing w:before="0" w:after="60" w:line="276" w:lineRule="auto"/>
            </w:pPr>
            <w:r>
              <w:rPr>
                <w:rFonts w:ascii="Calibri" w:hAnsi="Calibri"/>
                <w:b/>
                <w:color w:val="2563EB"/>
                <w:sz w:val="22"/>
              </w:rPr>
              <w:t>📁  Recommended Project Structure</w:t>
              <w:br/>
            </w:r>
            <w:r>
              <w:rPr>
                <w:rFonts w:ascii="Calibri" w:hAnsi="Calibri"/>
                <w:color w:val="334155"/>
                <w:sz w:val="20"/>
              </w:rPr>
              <w:t>my-ai-gateway-bundle/</w:t>
              <w:br/>
              <w:t>├── databricks.yml              # Environment targets (dev, prod) and workspace URLs</w:t>
              <w:br/>
              <w:t>└── resources/</w:t>
              <w:br/>
              <w:t xml:space="preserve">    └── serving_endpoints.yml   # Endpoint specs, rate limits, tags, and compute size</w:t>
            </w:r>
          </w:p>
        </w:tc>
      </w:tr>
    </w:tbl>
    <w:p>
      <w:pPr>
        <w:spacing w:before="0" w:after="80"/>
      </w:pPr>
    </w:p>
    <w:p>
      <w:pPr>
        <w:spacing w:before="0" w:after="120" w:line="288" w:lineRule="auto"/>
      </w:pPr>
      <w:r>
        <w:rPr>
          <w:rFonts w:ascii="Calibri" w:hAnsi="Calibri"/>
          <w:b/>
          <w:color w:val="1E293B"/>
          <w:sz w:val="22"/>
        </w:rPr>
        <w:t xml:space="preserve">The DAB Resource Template: </w:t>
      </w:r>
      <w:r>
        <w:rPr>
          <w:rFonts w:ascii="Calibri" w:hAnsi="Calibri"/>
          <w:color w:val="334155"/>
          <w:sz w:val="22"/>
        </w:rPr>
        <w:t>Here is a clean, production-ready resource template (resources/serving_endpoints.yml):</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8"/>
              </w:rPr>
              <w:t>resources:</w:t>
              <w:br/>
              <w:t xml:space="preserve">  model_serving_endpoints:</w:t>
              <w:br/>
              <w:t xml:space="preserve">    # 1. External/Foundation Model with Rate Limiting</w:t>
              <w:br/>
              <w:t xml:space="preserve">    llm_gateway_endpoint:</w:t>
              <w:br/>
              <w:t xml:space="preserve">      name: ${bundle.target}-llm-gateway</w:t>
              <w:br/>
              <w:t xml:space="preserve">      tags:</w:t>
              <w:br/>
              <w:t xml:space="preserve">        - key: cost_center</w:t>
              <w:br/>
              <w:t xml:space="preserve">          value: risk_analytics</w:t>
              <w:br/>
              <w:t xml:space="preserve">        - key: environment</w:t>
              <w:br/>
              <w:t xml:space="preserve">          value: ${bundle.target}</w:t>
              <w:br/>
              <w:t xml:space="preserve">      config:</w:t>
              <w:br/>
              <w:t xml:space="preserve">        served_entities:</w:t>
              <w:br/>
              <w:t xml:space="preserve">          - name: llama-route</w:t>
              <w:br/>
              <w:t xml:space="preserve">            external_model:</w:t>
              <w:br/>
              <w:t xml:space="preserve">              name: databricks-meta-llama-3-3-70b-instruct</w:t>
              <w:br/>
              <w:t xml:space="preserve">              provider: databricks-model-serving</w:t>
              <w:br/>
              <w:t xml:space="preserve">              task: llm/v1/chat</w:t>
              <w:br/>
              <w:t xml:space="preserve">        ai_gateway:</w:t>
              <w:br/>
              <w:t xml:space="preserve">          rate_limits:</w:t>
              <w:br/>
              <w:t xml:space="preserve">            - key: user</w:t>
              <w:br/>
              <w:t xml:space="preserve">              renewal_period: minute</w:t>
              <w:br/>
              <w:t xml:space="preserve">              calls: 60</w:t>
              <w:br/>
              <w:t xml:space="preserve">            - key: user</w:t>
              <w:br/>
              <w:t xml:space="preserve">              renewal_period: minute</w:t>
              <w:br/>
              <w:t xml:space="preserve">              tokens: 40000</w:t>
              <w:br/>
              <w:br/>
              <w:t xml:space="preserve">    # 2. Self-Hosted Custom Model with Scale-to-Zero</w:t>
              <w:br/>
              <w:t xml:space="preserve">    custom_model_endpoint:</w:t>
              <w:br/>
              <w:t xml:space="preserve">      name: ${bundle.target}-custom-classifier</w:t>
              <w:br/>
              <w:t xml:space="preserve">      tags:</w:t>
              <w:br/>
              <w:t xml:space="preserve">        - key: cost_center</w:t>
              <w:br/>
              <w:t xml:space="preserve">          value: data_science</w:t>
              <w:br/>
              <w:t xml:space="preserve">      config:</w:t>
              <w:br/>
              <w:t xml:space="preserve">        served_entities:</w:t>
              <w:br/>
              <w:t xml:space="preserve">          - name: classifier-entity</w:t>
              <w:br/>
              <w:t xml:space="preserve">            entity_name: ${bundle.target}_catalog.nlp_schema.custom_classifier</w:t>
              <w:br/>
              <w:t xml:space="preserve">            entity_version: "1"</w:t>
              <w:br/>
              <w:t xml:space="preserve">            workload_size: Small</w:t>
              <w:br/>
              <w:t xml:space="preserve">            scale_to_zero_enabled: true</w:t>
            </w:r>
          </w:p>
        </w:tc>
      </w:tr>
    </w:tbl>
    <w:p>
      <w:pPr>
        <w:spacing w:before="0" w:after="80"/>
      </w:pPr>
    </w:p>
    <w:p>
      <w:pPr>
        <w:spacing w:before="0" w:after="120" w:line="288" w:lineRule="auto"/>
      </w:pPr>
      <w:r>
        <w:rPr>
          <w:rFonts w:ascii="Calibri" w:hAnsi="Calibri"/>
          <w:b/>
          <w:color w:val="1E293B"/>
          <w:sz w:val="22"/>
        </w:rPr>
        <w:t xml:space="preserve">Deploying Your Bundle: </w:t>
      </w:r>
      <w:r>
        <w:rPr>
          <w:rFonts w:ascii="Calibri" w:hAnsi="Calibri"/>
          <w:color w:val="334155"/>
          <w:sz w:val="22"/>
        </w:rPr>
        <w:t>Deploying across environments is simple with the Databricks CLI:</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none"/>
              <w:left w:val="none"/>
              <w:bottom w:val="none"/>
              <w:right w:val="none"/>
            </w:tcBorders>
          </w:tcPr>
          <w:p>
            <w:pPr>
              <w:spacing w:before="0" w:after="0" w:line="276" w:lineRule="auto"/>
            </w:pPr>
            <w:r>
              <w:rPr>
                <w:rFonts w:ascii="Consolas" w:hAnsi="Consolas"/>
                <w:color w:val="F1F5F9"/>
                <w:sz w:val="18"/>
              </w:rPr>
              <w:t># Validate syntax and check for missing variables</w:t>
              <w:br/>
              <w:t>databricks bundle validate -t dev</w:t>
              <w:br/>
              <w:br/>
              <w:t># See a preview of changes before they happen</w:t>
              <w:br/>
              <w:t>databricks bundle plan -t dev</w:t>
              <w:br/>
              <w:br/>
              <w:t># Deploy to Dev or run in your CI/CD pipeline for Prod</w:t>
              <w:br/>
              <w:t>databricks bundle deploy -t dev</w:t>
              <w:br/>
              <w:t>databricks bundle deploy -t prod</w:t>
            </w:r>
          </w:p>
        </w:tc>
      </w:tr>
    </w:tbl>
    <w:p>
      <w:pPr>
        <w:spacing w:before="0" w:after="80"/>
      </w:pPr>
    </w:p>
    <w:p>
      <w:pPr>
        <w:pStyle w:val="Heading1"/>
        <w:spacing w:before="280" w:after="80"/>
      </w:pPr>
      <w:r>
        <w:rPr>
          <w:rFonts w:ascii="Calibri" w:hAnsi="Calibri"/>
          <w:b/>
          <w:color w:val="1E293B"/>
          <w:sz w:val="30"/>
        </w:rPr>
        <w:t>5. Six 'Hidden' Cost-Saving Tactics Experienced Teams Use</w:t>
      </w:r>
    </w:p>
    <w:p>
      <w:pPr>
        <w:spacing w:before="0" w:after="120" w:line="288" w:lineRule="auto"/>
      </w:pPr>
      <w:r>
        <w:rPr>
          <w:rFonts w:ascii="Calibri" w:hAnsi="Calibri"/>
          <w:color w:val="334155"/>
          <w:sz w:val="22"/>
        </w:rPr>
        <w:t>Beyond toggling rate limits and scale-to-zero, these architectural habits differentiate teams running lean AI systems from those dealing with runaway budgets.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left w:val="single" w:sz="24" w:space="0" w:color="2563EB"/>
              <w:bottom w:val="none"/>
              <w:right w:val="none"/>
            </w:tcBorders>
          </w:tcPr>
          <w:p>
            <w:pPr>
              <w:spacing w:before="0" w:after="60" w:line="276" w:lineRule="auto"/>
            </w:pPr>
            <w:r>
              <w:rPr>
                <w:rFonts w:ascii="Calibri" w:hAnsi="Calibri"/>
                <w:b/>
                <w:color w:val="2563EB"/>
                <w:sz w:val="22"/>
              </w:rPr>
              <w:t>💡  Take Advantage of Prompt Caching (Prefix Caching)</w:t>
              <w:br/>
            </w:r>
            <w:r>
              <w:rPr>
                <w:rFonts w:ascii="Calibri" w:hAnsi="Calibri"/>
                <w:color w:val="334155"/>
                <w:sz w:val="20"/>
              </w:rPr>
              <w:t>System prompts, documentation chunks, and few-shot examples make up the bulk of input tokens. Structure your prompt templates so that static instructions always appear at the very beginning, with user inputs at the end. External providers and Mosaic endpoints will recognize the repeated prefix and discount cached input tokens by 50% to 90%.</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left w:val="single" w:sz="24" w:space="0" w:color="2563EB"/>
              <w:bottom w:val="none"/>
              <w:right w:val="none"/>
            </w:tcBorders>
          </w:tcPr>
          <w:p>
            <w:pPr>
              <w:spacing w:before="0" w:after="60" w:line="276" w:lineRule="auto"/>
            </w:pPr>
            <w:r>
              <w:rPr>
                <w:rFonts w:ascii="Calibri" w:hAnsi="Calibri"/>
                <w:b/>
                <w:color w:val="2563EB"/>
                <w:sz w:val="22"/>
              </w:rPr>
              <w:t>💡  Stop Defaulting Every Custom Model to a GPU</w:t>
              <w:br/>
            </w:r>
            <w:r>
              <w:rPr>
                <w:rFonts w:ascii="Calibri" w:hAnsi="Calibri"/>
                <w:color w:val="334155"/>
                <w:sz w:val="20"/>
              </w:rPr>
              <w:t>It is tempting to put all transformer pipelines on GPUs, but lightweight classification, embedding models, and text extractors often run with negligible latency on CPU instances (Small or Medium). A CPU endpoint costs a fraction of an A10G (~20 DBUs/hr) and avoids massive multi-GPU nodes (600+ DBUs/hr).</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left w:val="single" w:sz="24" w:space="0" w:color="2563EB"/>
              <w:bottom w:val="none"/>
              <w:right w:val="none"/>
            </w:tcBorders>
          </w:tcPr>
          <w:p>
            <w:pPr>
              <w:spacing w:before="0" w:after="60" w:line="276" w:lineRule="auto"/>
            </w:pPr>
            <w:r>
              <w:rPr>
                <w:rFonts w:ascii="Calibri" w:hAnsi="Calibri"/>
                <w:b/>
                <w:color w:val="2563EB"/>
                <w:sz w:val="22"/>
              </w:rPr>
              <w:t>💡  Clean Up Your Inference Tables Regularly</w:t>
              <w:br/>
            </w:r>
            <w:r>
              <w:rPr>
                <w:rFonts w:ascii="Calibri" w:hAnsi="Calibri"/>
                <w:color w:val="334155"/>
                <w:sz w:val="20"/>
              </w:rPr>
              <w:t>Inference tables capture full payloads and responses in Delta format. In high-traffic services, this table will balloon into tens of millions of rows. Set up a simple scheduled job that deletes payloads older than 30-60 days and runs VACUUM to avoid paying perpetual storage costs on ephemeral test logs.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left w:val="single" w:sz="24" w:space="0" w:color="2563EB"/>
              <w:bottom w:val="none"/>
              <w:right w:val="none"/>
            </w:tcBorders>
          </w:tcPr>
          <w:p>
            <w:pPr>
              <w:spacing w:before="0" w:after="60" w:line="276" w:lineRule="auto"/>
            </w:pPr>
            <w:r>
              <w:rPr>
                <w:rFonts w:ascii="Calibri" w:hAnsi="Calibri"/>
                <w:b/>
                <w:color w:val="2563EB"/>
                <w:sz w:val="22"/>
              </w:rPr>
              <w:t>💡  Don't Call Real-Time Endpoints for Batch Processing</w:t>
              <w:br/>
            </w:r>
            <w:r>
              <w:rPr>
                <w:rFonts w:ascii="Calibri" w:hAnsi="Calibri"/>
                <w:color w:val="334155"/>
                <w:sz w:val="20"/>
              </w:rPr>
              <w:t>Calling a real-time Model Serving endpoint sequentially from a notebook to score 500,000 historical rows is a major anti-pattern. Real-time endpoints carry a high DBU rate for sub-second HTTP latency. Instead, use ai_query() inside a Databricks Job. Batch jobs compute at standard Jobs DBU rates (~$0.15/DBU vs. ~$0.55+/DBU).</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left w:val="single" w:sz="24" w:space="0" w:color="2563EB"/>
              <w:bottom w:val="none"/>
              <w:right w:val="none"/>
            </w:tcBorders>
          </w:tcPr>
          <w:p>
            <w:pPr>
              <w:spacing w:before="0" w:after="60" w:line="276" w:lineRule="auto"/>
            </w:pPr>
            <w:r>
              <w:rPr>
                <w:rFonts w:ascii="Calibri" w:hAnsi="Calibri"/>
                <w:b/>
                <w:color w:val="2563EB"/>
                <w:sz w:val="22"/>
              </w:rPr>
              <w:t>💡  Always Enforce Hard max_tokens Boundaries</w:t>
              <w:br/>
            </w:r>
            <w:r>
              <w:rPr>
                <w:rFonts w:ascii="Calibri" w:hAnsi="Calibri"/>
                <w:color w:val="334155"/>
                <w:sz w:val="20"/>
              </w:rPr>
              <w:t>If you don't supply max_tokens, models often default to generating up to 4,096 or 8,192 tokens. If an agent hallucinates or loops, it will generate thousands of unwanted tokens. Hardcode tight caps in your client calls: 50 tokens for classifications and 250 tokens for concise summaries.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top w:val="none"/>
              <w:left w:val="single" w:sz="24" w:space="0" w:color="2563EB"/>
              <w:bottom w:val="none"/>
              <w:right w:val="none"/>
            </w:tcBorders>
          </w:tcPr>
          <w:p>
            <w:pPr>
              <w:spacing w:before="0" w:after="60" w:line="276" w:lineRule="auto"/>
            </w:pPr>
            <w:r>
              <w:rPr>
                <w:rFonts w:ascii="Calibri" w:hAnsi="Calibri"/>
                <w:b/>
                <w:color w:val="2563EB"/>
                <w:sz w:val="22"/>
              </w:rPr>
              <w:t>💡  Set Up an Automated 'Orphan Endpoint' Reaper</w:t>
              <w:br/>
            </w:r>
            <w:r>
              <w:rPr>
                <w:rFonts w:ascii="Calibri" w:hAnsi="Calibri"/>
                <w:color w:val="334155"/>
                <w:sz w:val="20"/>
              </w:rPr>
              <w:t>Engineers frequently spin up dedicated endpoints for afternoon experiments and forget to delete them. Write a simple Python SDK script that queries system.billing.usage. If an endpoint with scale-to-zero disabled receives zero calls over 7 consecutive days, automatically trigger an alert or shut it down.</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