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942"/>
          <w:sz w:val="44"/>
        </w:rPr>
        <w:t>Databricks AI Gateway &amp; Model Serving</w:t>
      </w:r>
    </w:p>
    <w:p>
      <w:pPr>
        <w:spacing w:before="0" w:after="320"/>
      </w:pPr>
      <w:r>
        <w:rPr>
          <w:rFonts w:ascii="Arial" w:hAnsi="Arial"/>
          <w:color w:val="007A87"/>
          <w:sz w:val="24"/>
        </w:rPr>
        <w:t>Operational Excellence, Cost Optimization Strategies &amp; DAB Deployment Guide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F2942"/>
          <w:sz w:val="28"/>
        </w:rPr>
        <w:t>1. Executive Overview &amp; Core Pillars</w:t>
      </w:r>
    </w:p>
    <w:p>
      <w:pPr>
        <w:spacing w:before="0" w:after="160" w:line="276" w:lineRule="auto"/>
      </w:pPr>
      <w:r>
        <w:rPr>
          <w:rFonts w:ascii="Arial" w:hAnsi="Arial"/>
          <w:color w:val="2D3748"/>
          <w:sz w:val="20"/>
        </w:rPr>
        <w:t>Databricks AI Gateway (integrated within Mosaic AI and Model Serving via Unity Catalog) acts as a centralized control plane for routing, governing, securing, and monitoring external and self-hosted model endpoints. Achieving enterprise-grade operational excellence while aggressively curbing cloud AI spend requires balancing automated governance, right-sized compute models, prefix caching, and systematic lifecycle management.</w:t>
      </w:r>
    </w:p>
    <w:p>
      <w:pPr>
        <w:spacing w:before="80" w:after="120"/>
      </w:pPr>
      <w:r>
        <w:rPr>
          <w:rFonts w:ascii="Arial" w:hAnsi="Arial"/>
          <w:b/>
          <w:color w:val="007A87"/>
          <w:sz w:val="21"/>
        </w:rPr>
        <w:t>Key Operational Excellence Guardrails: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2D3748"/>
          <w:sz w:val="20"/>
        </w:rPr>
        <w:t xml:space="preserve">Guardrails &amp; Safety Policies: </w:t>
      </w:r>
      <w:r>
        <w:rPr>
          <w:rFonts w:ascii="Arial" w:hAnsi="Arial"/>
          <w:color w:val="2D3748"/>
          <w:sz w:val="20"/>
        </w:rPr>
        <w:t>Attach AI Gateway safety policies to automatically inspect and filter prompt injections, toxic content, and PII leakage before requests ever reach model weights.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2D3748"/>
          <w:sz w:val="20"/>
        </w:rPr>
        <w:t xml:space="preserve">Resilient Fallbacks &amp; Traffic Splitting: </w:t>
      </w:r>
      <w:r>
        <w:rPr>
          <w:rFonts w:ascii="Arial" w:hAnsi="Arial"/>
          <w:color w:val="2D3748"/>
          <w:sz w:val="20"/>
        </w:rPr>
        <w:t>Define fallback routes across providers (e.g., Azure OpenAI to Anthropic) to mitigate provider-side outages, alongside weighted traffic splits for safe A/B testing and canary rollouts.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2D3748"/>
          <w:sz w:val="20"/>
        </w:rPr>
        <w:t xml:space="preserve">Inference Tables &amp; Lakehouse Monitoring: </w:t>
      </w:r>
      <w:r>
        <w:rPr>
          <w:rFonts w:ascii="Arial" w:hAnsi="Arial"/>
          <w:color w:val="2D3748"/>
          <w:sz w:val="20"/>
        </w:rPr>
        <w:t>Log all request and payload events to Unity Catalog Delta tables automatically, hooking directly into Lakehouse Monitoring to detect drift, latency degradation, and error spikes.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2D3748"/>
          <w:sz w:val="20"/>
        </w:rPr>
        <w:t xml:space="preserve">Unified Governance via Unity Catalog: </w:t>
      </w:r>
      <w:r>
        <w:rPr>
          <w:rFonts w:ascii="Arial" w:hAnsi="Arial"/>
          <w:color w:val="2D3748"/>
          <w:sz w:val="20"/>
        </w:rPr>
        <w:t>Manage model access permissions using unified Attribute-Based Access Control (ABAC) and standard SQL GRANT privileges.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2942"/>
          <w:sz w:val="28"/>
        </w:rPr>
        <w:t>2. Cost-Saving Strategy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3456"/>
      </w:tblGrid>
      <w:tr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Recommended Use Case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Rate Limiting &amp; Token Caps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Set granular limits on Queries Per Minute (QPM) and Tokens Per Minute (TPM) per user or team.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Prevents runaway agent loops, accidental infinite recursion, and denial-of-wallet spikes.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Scale-to-Zero Compute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Automatically tear down serving instances to zero compute capacity when idle for &gt;20 mins.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Non-production workspaces, internal dev/test tools, and spiky, low-frequency batch jobs.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Pay-Per-Token vs. Provisioned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Use pay-per-token foundation model APIs for volatile volume; reserve provisioned throughput for 24/7 sustained loads.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Low/bursty workloads (pay-per-token) vs. consistent high-QPS production pipelines (provisioned).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Model Tier Downgrading (SLMs)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Route routine tasks (classification, simple extraction, routing) to SLMs rather than frontier models.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Task-based prompt pipelines and multi-agent systems where flagship models represent overkill.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Tagging &amp; Budget Alerts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Tag endpoints for automated reporting in system.billing.usage and set account-level budget triggers.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8"/>
              </w:rPr>
              <w:t>Multi-tenant cost attribution, chargeback mechanisms, and hard spending alerts at account level.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0F2942"/>
          <w:sz w:val="28"/>
        </w:rPr>
        <w:t>3. Step-by-Step Implementation Guide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7A87"/>
          <w:sz w:val="23"/>
        </w:rPr>
        <w:t>3.1 Configuring AI Gateway Rate Limits &amp; Token Caps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Rate limits prevent misbehaving agentic loops or unexpected user surges from generating catastrophic token bills. These are specified under the ai_gateway configuration block via the Model Serving REST API or UI: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"name": "enterprise-gateway-endpoint",</w:t>
              <w:br/>
              <w:t xml:space="preserve">  "ai_gateway": {</w:t>
              <w:br/>
              <w:t xml:space="preserve">    "rate_limits": [</w:t>
              <w:br/>
              <w:t xml:space="preserve">      {</w:t>
              <w:br/>
              <w:t xml:space="preserve">        "key": "user",</w:t>
              <w:br/>
              <w:t xml:space="preserve">        "renewal_period": "minute",</w:t>
              <w:br/>
              <w:t xml:space="preserve">        "calls": 60</w:t>
              <w:br/>
              <w:t xml:space="preserve">      },</w:t>
              <w:br/>
              <w:t xml:space="preserve">      {</w:t>
              <w:br/>
              <w:t xml:space="preserve">        "key": "user",</w:t>
              <w:br/>
              <w:t xml:space="preserve">        "renewal_period": "minute",</w:t>
              <w:br/>
              <w:t xml:space="preserve">        "tokens": 40000</w:t>
              <w:br/>
              <w:t xml:space="preserve">      },</w:t>
              <w:br/>
              <w:t xml:space="preserve">      {</w:t>
              <w:br/>
              <w:t xml:space="preserve">        "key": "endpoint",</w:t>
              <w:br/>
              <w:t xml:space="preserve">        "renewal_period": "minute",</w:t>
              <w:br/>
              <w:t xml:space="preserve">        "calls": 1200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007A87"/>
          <w:sz w:val="23"/>
        </w:rPr>
        <w:t>3.2 Enabling Scale-to-Zero Compute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For dedicated custom ML/LLM models deployed on Model Serving, enable scale_to_zero_enabled. When inactive for 20 minutes, compute instances release entirely, eliminating ongoing DBU burn at the cost of a 1-2 min warm-up cold start.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"served_entities": [</w:t>
              <w:br/>
              <w:t xml:space="preserve">    {</w:t>
              <w:br/>
              <w:t xml:space="preserve">      "name": "custom-model-entity",</w:t>
              <w:br/>
              <w:t xml:space="preserve">      "entity_name": "catalog.schema.custom_llm",</w:t>
              <w:br/>
              <w:t xml:space="preserve">      "entity_version": "1",</w:t>
              <w:br/>
              <w:t xml:space="preserve">      "scale_to_zero_enabled": true,</w:t>
              <w:br/>
              <w:t xml:space="preserve">      "workload_size": "Small"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007A87"/>
          <w:sz w:val="23"/>
        </w:rPr>
        <w:t>3.3 Multi-Tenant Spend Attribution via System Tables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Tag your endpoints with cost_center, environment, and team keys. Use the following query against system.billing.usage in Databricks SQL to track exact daily DBU consumption per business unit: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SELECT </w:t>
              <w:br/>
              <w:t xml:space="preserve">    usage_date,</w:t>
              <w:br/>
              <w:t xml:space="preserve">    custom_tags['cost_center'] AS cost_center,</w:t>
              <w:br/>
              <w:t xml:space="preserve">    usage_metadata.endpoint_name AS endpoint_name,</w:t>
              <w:br/>
              <w:t xml:space="preserve">    SUM(usage_quantity) AS total_dbus</w:t>
              <w:br/>
              <w:t>FROM system.billing.usage</w:t>
              <w:br/>
              <w:t>WHERE billing_origin_product = 'MODEL_SERVING'</w:t>
              <w:br/>
              <w:t>GROUP BY 1, 2, 3</w:t>
              <w:br/>
              <w:t>ORDER BY total_dbus DESC;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0F2942"/>
          <w:sz w:val="28"/>
        </w:rPr>
        <w:t>4. Infrastructure-as-Code: Databricks Asset Bundles (DABs)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Databricks Asset Bundles (DABs) allow teams to version control, parameterize, and deploy Model Serving endpoints and AI Gateway policies consistently across dev, staging, and prod workspaces via CI/CD.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07A8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Recommended Bundle Structure</w:t>
              <w:br/>
            </w:r>
            <w:r>
              <w:rPr>
                <w:rFonts w:ascii="Arial" w:hAnsi="Arial"/>
                <w:color w:val="2D3748"/>
                <w:sz w:val="19"/>
              </w:rPr>
              <w:t>my-ai-gateway-bundle/</w:t>
              <w:br/>
              <w:t>├── databricks.yml              # Bundle metadata, environments &amp; variables</w:t>
              <w:br/>
              <w:t>└── resources/</w:t>
              <w:br/>
              <w:t xml:space="preserve">    └── serving_endpoints.yml   # AI Gateway endpoints &amp; served entity definitions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7A87"/>
          <w:sz w:val="20"/>
        </w:rPr>
        <w:t>Bundle Configuration (databricks.yml):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bundle:</w:t>
              <w:br/>
              <w:t xml:space="preserve">  name: ai-gateway-ops</w:t>
              <w:br/>
              <w:br/>
              <w:t>include:</w:t>
              <w:br/>
              <w:t xml:space="preserve">  - resources/*.yml</w:t>
              <w:br/>
              <w:br/>
              <w:t>targets:</w:t>
              <w:br/>
              <w:t xml:space="preserve">  dev:</w:t>
              <w:br/>
              <w:t xml:space="preserve">    mode: development</w:t>
              <w:br/>
              <w:t xml:space="preserve">    default: true</w:t>
              <w:br/>
              <w:t xml:space="preserve">    workspace:</w:t>
              <w:br/>
              <w:t xml:space="preserve">      host: https://&lt;dev-workspace-url&gt;.cloud.databricks.com</w:t>
              <w:br/>
              <w:br/>
              <w:t xml:space="preserve">  prod:</w:t>
              <w:br/>
              <w:t xml:space="preserve">    mode: production</w:t>
              <w:br/>
              <w:t xml:space="preserve">    workspace:</w:t>
              <w:br/>
              <w:t xml:space="preserve">      host: https://&lt;prod-workspace-url&gt;.cloud.databricks.com</w:t>
              <w:br/>
              <w:t xml:space="preserve">    run_as:</w:t>
              <w:br/>
              <w:t xml:space="preserve">      service_principal_name: &lt;service-principal-application-id&gt;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7A87"/>
          <w:sz w:val="20"/>
        </w:rPr>
        <w:t>Resource Definition (resources/serving_endpoints.yml):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resources:</w:t>
              <w:br/>
              <w:t xml:space="preserve">  model_serving_endpoints:</w:t>
              <w:br/>
              <w:t xml:space="preserve">    # 1. Foundation / External Model with AI Gateway Rate Limits</w:t>
              <w:br/>
              <w:t xml:space="preserve">    llm_gateway_endpoint:</w:t>
              <w:br/>
              <w:t xml:space="preserve">      name: ${bundle.target}-llm-gateway</w:t>
              <w:br/>
              <w:t xml:space="preserve">      tags:</w:t>
              <w:br/>
              <w:t xml:space="preserve">        - key: cost_center</w:t>
              <w:br/>
              <w:t xml:space="preserve">          value: risk_analytics</w:t>
              <w:br/>
              <w:t xml:space="preserve">        - key: environment</w:t>
              <w:br/>
              <w:t xml:space="preserve">          value: ${bundle.target}</w:t>
              <w:br/>
              <w:t xml:space="preserve">      config:</w:t>
              <w:br/>
              <w:t xml:space="preserve">        served_entities:</w:t>
              <w:br/>
              <w:t xml:space="preserve">          - name: llama-route</w:t>
              <w:br/>
              <w:t xml:space="preserve">            external_model:</w:t>
              <w:br/>
              <w:t xml:space="preserve">              name: databricks-meta-llama-3-3-70b-instruct</w:t>
              <w:br/>
              <w:t xml:space="preserve">              provider: databricks-model-serving</w:t>
              <w:br/>
              <w:t xml:space="preserve">              task: llm/v1/chat</w:t>
              <w:br/>
              <w:t xml:space="preserve">        ai_gateway:</w:t>
              <w:br/>
              <w:t xml:space="preserve">          rate_limits:</w:t>
              <w:br/>
              <w:t xml:space="preserve">            - key: user</w:t>
              <w:br/>
              <w:t xml:space="preserve">              renewal_period: minute</w:t>
              <w:br/>
              <w:t xml:space="preserve">              calls: 60</w:t>
              <w:br/>
              <w:t xml:space="preserve">            - key: user</w:t>
              <w:br/>
              <w:t xml:space="preserve">              renewal_period: minute</w:t>
              <w:br/>
              <w:t xml:space="preserve">              tokens: 40000</w:t>
              <w:br/>
              <w:t xml:space="preserve">            - key: endpoint</w:t>
              <w:br/>
              <w:t xml:space="preserve">              renewal_period: minute</w:t>
              <w:br/>
              <w:t xml:space="preserve">              calls: 1000</w:t>
              <w:br/>
              <w:br/>
              <w:t xml:space="preserve">    # 2. Self-Hosted Custom Model with Scale-to-Zero Compute</w:t>
              <w:br/>
              <w:t xml:space="preserve">    custom_model_endpoint:</w:t>
              <w:br/>
              <w:t xml:space="preserve">      name: ${bundle.target}-custom-classifier</w:t>
              <w:br/>
              <w:t xml:space="preserve">      tags:</w:t>
              <w:br/>
              <w:t xml:space="preserve">        - key: cost_center</w:t>
              <w:br/>
              <w:t xml:space="preserve">          value: data_science</w:t>
              <w:br/>
              <w:t xml:space="preserve">        - key: environment</w:t>
              <w:br/>
              <w:t xml:space="preserve">          value: ${bundle.target}</w:t>
              <w:br/>
              <w:t xml:space="preserve">      config:</w:t>
              <w:br/>
              <w:t xml:space="preserve">        served_entities:</w:t>
              <w:br/>
              <w:t xml:space="preserve">          - name: classification-entity</w:t>
              <w:br/>
              <w:t xml:space="preserve">            entity_name: ${bundle.target}_catalog.nlp_schema.custom_bert_classifier</w:t>
              <w:br/>
              <w:t xml:space="preserve">            entity_version: "1"</w:t>
              <w:br/>
              <w:t xml:space="preserve">            workload_size: Small</w:t>
              <w:br/>
              <w:t xml:space="preserve">            scale_to_zero_enabled: true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1. Validate DAB template syntax</w:t>
              <w:br/>
              <w:t>databricks bundle validate -t dev</w:t>
              <w:br/>
              <w:br/>
              <w:t># 2. Preview resources that will be generated</w:t>
              <w:br/>
              <w:t>databricks bundle plan -t dev</w:t>
              <w:br/>
              <w:br/>
              <w:t># 3. Deploy to development environment</w:t>
              <w:br/>
              <w:t>databricks bundle deploy -t dev</w:t>
              <w:br/>
              <w:br/>
              <w:t># 4. Deploy to production via CI/CD pipeline</w:t>
              <w:br/>
              <w:t>databricks bundle deploy -t prod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0F2942"/>
          <w:sz w:val="28"/>
        </w:rPr>
        <w:t>5. Advanced 'Hidden' Architectural Cost-Saving Strategies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Leverage Provider Prompt Caching (Prefix Caching)</w:t>
              <w:br/>
            </w:r>
            <w:r>
              <w:rPr>
                <w:rFonts w:ascii="Arial" w:hAnsi="Arial"/>
                <w:color w:val="2D3748"/>
                <w:sz w:val="19"/>
              </w:rPr>
              <w:t>Input tokens make up 70–80% of RAG and multi-step agent costs. Structure prompt templates so static instructions, schemas, and few-shot examples appear at the absolute beginning of the context window. External providers (Anthropic, OpenAI) and Mosaic-served endpoints recognize unchanged prefix tokens and discount them by 50% to 90% compared to base token pricing.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Avoid the 'Default to GPU' Trap</w:t>
              <w:br/>
            </w:r>
            <w:r>
              <w:rPr>
                <w:rFonts w:ascii="Arial" w:hAnsi="Arial"/>
                <w:color w:val="2D3748"/>
                <w:sz w:val="19"/>
              </w:rPr>
              <w:t>Avoid assigning GPU compute to non-generative workloads. Lightweight transformers, embedding models (e.g., bge-small), and tabular models run efficiently on CPU serving ('Small' or 'Medium') at a tiny fraction of GPU DBU costs. Furthermore, when GPUs are required, profile exact memory footprint: an A10G runs at ~20 DBUs/hr, whereas an 8x A100/H100 tier can exceed 600+ DBUs/hr.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Enforce Data Retention &amp; Vacuuming on Inference Tables</w:t>
              <w:br/>
            </w:r>
            <w:r>
              <w:rPr>
                <w:rFonts w:ascii="Arial" w:hAnsi="Arial"/>
                <w:color w:val="2D3748"/>
                <w:sz w:val="19"/>
              </w:rPr>
              <w:t>Inference tables capture all JSON request/response payloads into Delta tables. For high-throughput services, these accumulate tens of millions of records, generating substantial storage overhead. Implement a 30-to-60-day Time-To-Live (TTL) deletion script paired with scheduled VACUUM operations to reclaim object storage fees.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Execute Bulk Asynchronous Workloads via Jobs Compute (ai_query)</w:t>
              <w:br/>
            </w:r>
            <w:r>
              <w:rPr>
                <w:rFonts w:ascii="Arial" w:hAnsi="Arial"/>
                <w:color w:val="2D3748"/>
                <w:sz w:val="19"/>
              </w:rPr>
              <w:t>Real-time endpoints carry an expensive SLA premium for sub-second HTTP responses. Calling real-time REST endpoints sequentially from notebooks to score millions of historical records is a costly anti-pattern. Instead, leverage Jobs Compute with SQL ai_query() directly within batch PySpark pipelines to take advantage of significantly lower Jobs DBU pricing.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Enforce Hard max_tokens at the Gateway &amp; Client Layer</w:t>
              <w:br/>
            </w:r>
            <w:r>
              <w:rPr>
                <w:rFonts w:ascii="Arial" w:hAnsi="Arial"/>
                <w:color w:val="2D3748"/>
                <w:sz w:val="19"/>
              </w:rPr>
              <w:t>Frontier models default to full output generation windows (4,096 to 8,192 tokens) if max_tokens is unspecified. A stuck agent or reasoning loop will exhaust the maximum token count before timing out. Mandate strict token boundaries in API wrappers: classification/routing (max_tokens: 50), short extraction (max_tokens: 250).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F2942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7A87"/>
                <w:sz w:val="21"/>
              </w:rPr>
              <w:t>📌 Automated Orphan Endpoint Teardown</w:t>
              <w:br/>
            </w:r>
            <w:r>
              <w:rPr>
                <w:rFonts w:ascii="Arial" w:hAnsi="Arial"/>
                <w:color w:val="2D3748"/>
                <w:sz w:val="19"/>
              </w:rPr>
              <w:t>Developer teams routinely spin up dedicated GPU-backed endpoints for ad-hoc experiments and abandon them. Create a scheduled Databricks Job querying system.serving.endpoint_usage to flag endpoints with zero invocations over 7 consecutive days and scale_to_zero_enabled = false, triggering an automated alert or automated teardown via the Databricks Python SDK.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