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F172A"/>
          <w:sz w:val="44"/>
        </w:rPr>
        <w:t>The Complete Databricks AI Gateway Architecture Guide</w:t>
      </w:r>
    </w:p>
    <w:p>
      <w:pPr>
        <w:spacing w:before="0" w:after="280"/>
      </w:pPr>
      <w:r>
        <w:rPr>
          <w:rFonts w:ascii="Segoe UI" w:hAnsi="Segoe UI"/>
          <w:color w:val="EA580C"/>
          <w:sz w:val="24"/>
        </w:rPr>
        <w:t>Operational Excellence, FinOps Cost Reduction, Single Gateway Patterns, Inference Telemetry &amp; DABs on AWS</w:t>
      </w:r>
    </w:p>
    <w:p>
      <w:pPr>
        <w:spacing w:before="0" w:after="100" w:line="283" w:lineRule="auto"/>
      </w:pPr>
      <w:r>
        <w:rPr>
          <w:rFonts w:ascii="Segoe UI" w:hAnsi="Segoe UI"/>
          <w:color w:val="334155"/>
          <w:sz w:val="21"/>
        </w:rPr>
        <w:t>When organizations adopt Large Language Models (LLMs) and autonomous agentic workflows on Databricks running on AWS, they face a dual challenge: maintaining bulletproof operational reliability (uptime, security, guardrails, and telemetry) while preventing runaway financial bleed across both Databricks DBUs and underlying AWS infrastructure (EC2, S3, EBS, and PrivateLink). This comprehensive whitepaper brings together every architectural concept, code snippet, schema reference, and deployment template needed to establish a hardened, cost-effective, unified AI Gateway platform.</w:t>
      </w:r>
    </w:p>
    <w:p>
      <w:pPr>
        <w:pStyle w:val="Heading1"/>
        <w:spacing w:before="280" w:after="80"/>
      </w:pPr>
      <w:r>
        <w:rPr>
          <w:rFonts w:ascii="Segoe UI" w:hAnsi="Segoe UI"/>
          <w:b/>
          <w:color w:val="0F172A"/>
          <w:sz w:val="28"/>
        </w:rPr>
        <w:t>1. Understanding the Single AI Gateway Pattern</w:t>
      </w:r>
    </w:p>
    <w:p>
      <w:pPr>
        <w:spacing w:before="0" w:after="100" w:line="283" w:lineRule="auto"/>
      </w:pPr>
      <w:r>
        <w:rPr>
          <w:rFonts w:ascii="Segoe UI" w:hAnsi="Segoe UI"/>
          <w:color w:val="334155"/>
          <w:sz w:val="21"/>
        </w:rPr>
        <w:t>A Single AI Gateway is an architectural pattern where all enterprise applications, internal tools, microservices, and AI agents communicate through one centralized reverse proxy and governance control plane, rather than connecting directly to disparate model providers (e.g., OpenAI, Anthropic, AWS Bedrock, or self-hosted open-source models).</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0284C7"/>
              <w:bottom w:val="none"/>
              <w:right w:val="none"/>
            </w:tcBorders>
          </w:tcPr>
          <w:p>
            <w:pPr>
              <w:spacing w:before="0" w:after="60" w:line="276" w:lineRule="auto"/>
            </w:pPr>
            <w:r>
              <w:rPr>
                <w:rFonts w:ascii="Segoe UI" w:hAnsi="Segoe UI"/>
                <w:b/>
                <w:color w:val="0F172A"/>
                <w:sz w:val="21"/>
              </w:rPr>
              <w:t>🏛️  Logical Control Plane vs. Physical Endpoint</w:t>
              <w:br/>
            </w:r>
            <w:r>
              <w:rPr>
                <w:rFonts w:ascii="Segoe UI" w:hAnsi="Segoe UI"/>
                <w:color w:val="334155"/>
                <w:sz w:val="19"/>
              </w:rPr>
              <w:t>A frequent misconception is that a 'Single AI Gateway' means running every model on a single compute instance. In modern architecture, a Single AI Gateway is a unified logical control plane: your applications target a single consistent base URL, use one enterprise identity standard (OAuth M2M), and inherit global rate limits, PII guardrails, and audit logging. Behind the scenes, the gateway cleanly routes requests to appropriate serverless or dedicated compute pools.</w:t>
            </w:r>
          </w:p>
        </w:tc>
      </w:tr>
    </w:tbl>
    <w:p>
      <w:pPr>
        <w:spacing w:before="0" w:after="60"/>
      </w:pPr>
    </w:p>
    <w:tbl>
      <w:tblPr>
        <w:tblW w:type="auto" w:w="0"/>
        <w:jc w:val="center"/>
        <w:tblLayout w:type="fixed"/>
        <w:tblLook w:firstColumn="1" w:firstRow="1" w:lastColumn="0" w:lastRow="0" w:noHBand="0" w:noVBand="1" w:val="04A0"/>
      </w:tblPr>
      <w:tblGrid>
        <w:gridCol w:w="2592"/>
        <w:gridCol w:w="3456"/>
        <w:gridCol w:w="3744"/>
      </w:tblGrid>
      <w:tr>
        <w:tc>
          <w:tcPr>
            <w:tcW w:type="dxa" w:w="3264"/>
            <w:shd w:fill="0F172A"/>
            <w:tcMar>
              <w:top w:w="80" w:type="dxa"/>
              <w:bottom w:w="80" w:type="dxa"/>
              <w:left w:w="100" w:type="dxa"/>
              <w:right w:w="100" w:type="dxa"/>
            </w:tcMar>
          </w:tcPr>
          <w:p>
            <w:r>
              <w:rPr>
                <w:rFonts w:ascii="Segoe UI" w:hAnsi="Segoe UI"/>
                <w:b/>
                <w:color w:val="FFFFFF"/>
                <w:sz w:val="19"/>
              </w:rPr>
              <w:t>Capability</w:t>
            </w:r>
          </w:p>
        </w:tc>
        <w:tc>
          <w:tcPr>
            <w:tcW w:type="dxa" w:w="3264"/>
            <w:shd w:fill="0F172A"/>
            <w:tcMar>
              <w:top w:w="80" w:type="dxa"/>
              <w:bottom w:w="80" w:type="dxa"/>
              <w:left w:w="100" w:type="dxa"/>
              <w:right w:w="100" w:type="dxa"/>
            </w:tcMar>
          </w:tcPr>
          <w:p>
            <w:r>
              <w:rPr>
                <w:rFonts w:ascii="Segoe UI" w:hAnsi="Segoe UI"/>
                <w:b/>
                <w:color w:val="FFFFFF"/>
                <w:sz w:val="19"/>
              </w:rPr>
              <w:t>Without Gateway (Ad-Hoc Direct Calls)</w:t>
            </w:r>
          </w:p>
        </w:tc>
        <w:tc>
          <w:tcPr>
            <w:tcW w:type="dxa" w:w="3264"/>
            <w:shd w:fill="0F172A"/>
            <w:tcMar>
              <w:top w:w="80" w:type="dxa"/>
              <w:bottom w:w="80" w:type="dxa"/>
              <w:left w:w="100" w:type="dxa"/>
              <w:right w:w="100" w:type="dxa"/>
            </w:tcMar>
          </w:tcPr>
          <w:p>
            <w:r>
              <w:rPr>
                <w:rFonts w:ascii="Segoe UI" w:hAnsi="Segoe UI"/>
                <w:b/>
                <w:color w:val="FFFFFF"/>
                <w:sz w:val="19"/>
              </w:rPr>
              <w:t>With a Single AI Gateway</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API Standard</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Fragmented vendor SDKs; changing models requires rewriting application logic.</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Single OpenAI-compatible interface; swap models via a simple parameter change.</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Credential Security</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API keys (sk-...) copied into multiple source repos and microservice env vars.</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Zero credential sprawl; upstream keys stored in secure vaults, apps authenticate via M2M OAuth.</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Rate &amp; Budget Limits</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Unchecked agent loops run up infinite credit card charges.</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Hard QPM and TPM caps enforce limits per user, team, or service.</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High Availability</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Provider-side 5xx errors or throttling crash user-facing applications.</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Automatic multi-provider fallback (e.g., OpenAI to Claude or Bedrock).</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Safety &amp; Compliance</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Teams write ad-hoc regex filters or omit PII scrubbing entirely.</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Centralized PII redaction and prompt injection guardrails enforced at the perimeter.</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Telemetry &amp; FinOps</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Scattered monthly vendor bills with zero user-level cost attribution.</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All calls log to Unity Catalog Delta tables for exact per-department chargebacks.</w:t>
            </w:r>
          </w:p>
        </w:tc>
      </w:tr>
    </w:tbl>
    <w:p>
      <w:pPr>
        <w:spacing w:before="40" w:after="40"/>
      </w:pPr>
    </w:p>
    <w:p>
      <w:pPr>
        <w:pStyle w:val="Heading1"/>
        <w:spacing w:before="280" w:after="80"/>
      </w:pPr>
      <w:r>
        <w:rPr>
          <w:rFonts w:ascii="Segoe UI" w:hAnsi="Segoe UI"/>
          <w:b/>
          <w:color w:val="0F172A"/>
          <w:sz w:val="28"/>
        </w:rPr>
        <w:t>2. Implementing a Single AI Gateway in Databricks</w:t>
      </w:r>
    </w:p>
    <w:p>
      <w:pPr>
        <w:spacing w:before="0" w:after="100" w:line="283" w:lineRule="auto"/>
      </w:pPr>
      <w:r>
        <w:rPr>
          <w:rFonts w:ascii="Segoe UI" w:hAnsi="Segoe UI"/>
          <w:color w:val="334155"/>
          <w:sz w:val="21"/>
        </w:rPr>
        <w:t>In Databricks, the AI Gateway is built directly into Mosaic AI Model Serving and Unity Catalog. A common question is: If I have multiple endpoint names (e.g., one for GPT-4o, one for Claude, and one for a custom Llama model), does the endpoint URL change every time, and is it still considered a Single AI Gateway?</w:t>
      </w:r>
    </w:p>
    <w:p>
      <w:pPr>
        <w:spacing w:before="0" w:after="100" w:line="283" w:lineRule="auto"/>
      </w:pPr>
      <w:r>
        <w:rPr>
          <w:rFonts w:ascii="Segoe UI" w:hAnsi="Segoe UI"/>
          <w:b/>
          <w:color w:val="0F172A"/>
          <w:sz w:val="21"/>
        </w:rPr>
        <w:t xml:space="preserve">The Unified Ingress URL: </w:t>
      </w:r>
      <w:r>
        <w:rPr>
          <w:rFonts w:ascii="Segoe UI" w:hAnsi="Segoe UI"/>
          <w:color w:val="334155"/>
          <w:sz w:val="21"/>
        </w:rPr>
        <w:t>No, the URL does not change dynamically. Databricks provides two primary architectural patterns to serve as a Single AI Gateway:</w:t>
      </w:r>
    </w:p>
    <w:p>
      <w:pPr>
        <w:spacing w:before="0" w:after="100" w:line="283" w:lineRule="auto"/>
      </w:pPr>
      <w:r>
        <w:rPr>
          <w:rFonts w:ascii="Segoe UI" w:hAnsi="Segoe UI"/>
          <w:b/>
          <w:color w:val="0F172A"/>
          <w:sz w:val="21"/>
        </w:rPr>
        <w:t xml:space="preserve">Pattern A: The OpenAI-Compatible Unified Gateway (Recommended): </w:t>
      </w:r>
      <w:r>
        <w:rPr>
          <w:rFonts w:ascii="Segoe UI" w:hAnsi="Segoe UI"/>
          <w:color w:val="334155"/>
          <w:sz w:val="21"/>
        </w:rPr>
        <w:t>Databricks provides a standardized OpenAI-compatible endpoint route where the base URL is completely static across your workspace. Applications configure this single base URL once. To route to different models, they simply pass the target Databricks endpoint name in the 'model' parameter:</w:t>
      </w:r>
    </w:p>
    <w:p>
      <w:pPr>
        <w:spacing w:before="100" w:after="40"/>
      </w:pPr>
      <w:r>
        <w:rPr>
          <w:rFonts w:ascii="Segoe UI" w:hAnsi="Segoe UI"/>
          <w:i/>
          <w:color w:val="64748B"/>
          <w:sz w:val="18"/>
        </w:rPr>
        <w:t>Python client interacting with Databricks AI Gateway as a single OpenAI-compatible plane</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import os</w:t>
              <w:br/>
              <w:t>from openai import OpenAI</w:t>
              <w:br/>
              <w:br/>
              <w:t># --------------------------------------------------------------------------</w:t>
              <w:br/>
              <w:t># ONE SINGLE GATEWAY CONFIGURATION FOR ALL WORKLOADS ACROSS THE ENTERPRISE</w:t>
              <w:br/>
              <w:t># --------------------------------------------------------------------------</w:t>
              <w:br/>
              <w:t>gateway_client = OpenAI(</w:t>
              <w:br/>
              <w:t xml:space="preserve">    base_url=f"https://{os.environ['DATABRICKS_HOST']}/serving-endpoints",</w:t>
              <w:br/>
              <w:t xml:space="preserve">    api_key=os.environ["DATABRICKS_TOKEN"]  # Databricks OAuth M2M Service Principal Token</w:t>
              <w:br/>
              <w:t>)</w:t>
              <w:br/>
              <w:br/>
              <w:t># Route 1: Frontier Reasoning Model (External GPT-4o Gateway)</w:t>
              <w:br/>
              <w:t>response_reasoning = gateway_client.chat.completions.create(</w:t>
              <w:br/>
              <w:t xml:space="preserve">    model="prod-gpt4o-gateway",</w:t>
              <w:br/>
              <w:t xml:space="preserve">    messages=[{"role": "user", "content": "Conduct a deep financial portfolio analysis."}]</w:t>
              <w:br/>
              <w:t>)</w:t>
              <w:br/>
              <w:br/>
              <w:t># Route 2: Creative &amp; Long-Context Model (Anthropic Claude 3.5 Sonnet Gateway)</w:t>
              <w:br/>
              <w:t>response_creative = gateway_client.chat.completions.create(</w:t>
              <w:br/>
              <w:t xml:space="preserve">    model="prod-claude-gateway",</w:t>
              <w:br/>
              <w:t xml:space="preserve">    messages=[{"role": "user", "content": "Draft an executive summary from this 80-page report."}]</w:t>
              <w:br/>
              <w:t>)</w:t>
              <w:br/>
              <w:br/>
              <w:t># Route 3: High-Speed, Low-Cost Classification Model (Self-Hosted Llama-3-8B)</w:t>
              <w:br/>
              <w:t>response_slm = gateway_client.chat.completions.create(</w:t>
              <w:br/>
              <w:t xml:space="preserve">    model="prod-llama8b-classifier",</w:t>
              <w:br/>
              <w:t xml:space="preserve">    messages=[{"role": "user", "content": "Classify this customer support ticket: 'App crashes on load'."}]</w:t>
              <w:br/>
              <w:t>)</w:t>
            </w:r>
          </w:p>
        </w:tc>
      </w:tr>
    </w:tbl>
    <w:p>
      <w:pPr>
        <w:spacing w:before="0" w:after="60"/>
      </w:pPr>
    </w:p>
    <w:p>
      <w:pPr>
        <w:spacing w:before="0" w:after="100" w:line="283" w:lineRule="auto"/>
      </w:pPr>
      <w:r>
        <w:rPr>
          <w:rFonts w:ascii="Segoe UI" w:hAnsi="Segoe UI"/>
          <w:b/>
          <w:color w:val="0F172A"/>
          <w:sz w:val="21"/>
        </w:rPr>
        <w:t xml:space="preserve">Pattern B: The Intelligent Orchestrator Router: </w:t>
      </w:r>
      <w:r>
        <w:rPr>
          <w:rFonts w:ascii="Segoe UI" w:hAnsi="Segoe UI"/>
          <w:color w:val="334155"/>
          <w:sz w:val="21"/>
        </w:rPr>
        <w:t>If your applications require dynamic intent-based routing without deciding on a model upstream, you can deploy a lightweight router agent directly on a single serving endpoint. The router inspects prompt complexity, classifies the task, and internally dispatches to the most cost-effective model:</w:t>
      </w:r>
    </w:p>
    <w:p>
      <w:pPr>
        <w:spacing w:before="100" w:after="40"/>
      </w:pPr>
      <w:r>
        <w:rPr>
          <w:rFonts w:ascii="Segoe UI" w:hAnsi="Segoe UI"/>
          <w:i/>
          <w:color w:val="64748B"/>
          <w:sz w:val="18"/>
        </w:rPr>
        <w:t>Custom PythonModel serving as an internal intelligent router behind a single endpoint URL</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import mlflow</w:t>
              <w:br/>
              <w:t>from mlflow.pyfunc import PythonModel</w:t>
              <w:br/>
              <w:t>from databricks.sdk import WorkspaceClient</w:t>
              <w:br/>
              <w:br/>
              <w:t>class IntelligentGatewayRouter(PythonModel):</w:t>
              <w:br/>
              <w:t xml:space="preserve">    def load_context(self, context):</w:t>
              <w:br/>
              <w:t xml:space="preserve">        self.w = WorkspaceClient()</w:t>
              <w:br/>
              <w:t xml:space="preserve">        self.endpoint_map = {</w:t>
              <w:br/>
              <w:t xml:space="preserve">            "fast": "prod-llama8b-classifier",</w:t>
              <w:br/>
              <w:t xml:space="preserve">            "reasoning": "prod-gpt4o-gateway",</w:t>
              <w:br/>
              <w:t xml:space="preserve">            "creative": "prod-claude-gateway"</w:t>
              <w:br/>
              <w:t xml:space="preserve">        }</w:t>
              <w:br/>
              <w:br/>
              <w:t xml:space="preserve">    def predict(self, context, model_input):</w:t>
              <w:br/>
              <w:t xml:space="preserve">        tier = model_input.get("tier", "fast")</w:t>
              <w:br/>
              <w:t xml:space="preserve">        messages = model_input.get("messages", [])</w:t>
              <w:br/>
              <w:t xml:space="preserve">        target_endpoint = self.endpoint_map.get(tier, "prod-llama8b-classifier")</w:t>
              <w:br/>
              <w:br/>
              <w:t xml:space="preserve">        # Invoke the targeted gateway route internally via Databricks SDK</w:t>
              <w:br/>
              <w:t xml:space="preserve">        return self.w.serving_endpoints.query(</w:t>
              <w:br/>
              <w:t xml:space="preserve">            name=target_endpoint,</w:t>
              <w:br/>
              <w:t xml:space="preserve">            dataframe_records=[{"messages": messages}]</w:t>
              <w:br/>
              <w:t xml:space="preserve">        )</w:t>
            </w:r>
          </w:p>
        </w:tc>
      </w:tr>
    </w:tbl>
    <w:p>
      <w:pPr>
        <w:spacing w:before="0" w:after="60"/>
      </w:pPr>
    </w:p>
    <w:p>
      <w:pPr>
        <w:pStyle w:val="Heading1"/>
        <w:spacing w:before="280" w:after="80"/>
      </w:pPr>
      <w:r>
        <w:rPr>
          <w:rFonts w:ascii="Segoe UI" w:hAnsi="Segoe UI"/>
          <w:b/>
          <w:color w:val="0F172A"/>
          <w:sz w:val="28"/>
        </w:rPr>
        <w:t>3. Operational Excellence via Inference Tables</w:t>
      </w:r>
    </w:p>
    <w:p>
      <w:pPr>
        <w:spacing w:before="0" w:after="100" w:line="283" w:lineRule="auto"/>
      </w:pPr>
      <w:r>
        <w:rPr>
          <w:rFonts w:ascii="Segoe UI" w:hAnsi="Segoe UI"/>
          <w:color w:val="334155"/>
          <w:sz w:val="21"/>
        </w:rPr>
        <w:t>Inference tables serve as the operational flight recorder for the AI Gateway. Enabling them establishes the observability and audit foundation needed to operate models safely in mission-critical environments:</w:t>
      </w:r>
    </w:p>
    <w:p>
      <w:pPr>
        <w:pStyle w:val="ListBullet"/>
        <w:spacing w:before="20" w:after="60" w:line="276" w:lineRule="auto"/>
      </w:pPr>
      <w:r>
        <w:rPr>
          <w:rFonts w:ascii="Segoe UI" w:hAnsi="Segoe UI"/>
          <w:b/>
          <w:color w:val="0F172A"/>
          <w:sz w:val="20"/>
        </w:rPr>
        <w:t xml:space="preserve">Auditability &amp; Zero-Middleware Observability: </w:t>
      </w:r>
      <w:r>
        <w:rPr>
          <w:rFonts w:ascii="Segoe UI" w:hAnsi="Segoe UI"/>
          <w:color w:val="334155"/>
          <w:sz w:val="20"/>
        </w:rPr>
        <w:t>Automatically records every request and response payload to Unity Catalog without requiring custom application middleware, sidecars, or extra logging code.</w:t>
      </w:r>
    </w:p>
    <w:p>
      <w:pPr>
        <w:pStyle w:val="ListBullet"/>
        <w:spacing w:before="20" w:after="60" w:line="276" w:lineRule="auto"/>
      </w:pPr>
      <w:r>
        <w:rPr>
          <w:rFonts w:ascii="Segoe UI" w:hAnsi="Segoe UI"/>
          <w:b/>
          <w:color w:val="0F172A"/>
          <w:sz w:val="20"/>
        </w:rPr>
        <w:t xml:space="preserve">Failure &amp; Latency Diagnostics: </w:t>
      </w:r>
      <w:r>
        <w:rPr>
          <w:rFonts w:ascii="Segoe UI" w:hAnsi="Segoe UI"/>
          <w:color w:val="334155"/>
          <w:sz w:val="20"/>
        </w:rPr>
        <w:t>Logs granular HTTP status codes (status_code), container execution duration (execution_time_ms), and failure responses, allowing rapid detection of upstream timeouts or model throttling.</w:t>
      </w:r>
    </w:p>
    <w:p>
      <w:pPr>
        <w:pStyle w:val="ListBullet"/>
        <w:spacing w:before="20" w:after="60" w:line="276" w:lineRule="auto"/>
      </w:pPr>
      <w:r>
        <w:rPr>
          <w:rFonts w:ascii="Segoe UI" w:hAnsi="Segoe UI"/>
          <w:b/>
          <w:color w:val="0F172A"/>
          <w:sz w:val="20"/>
        </w:rPr>
        <w:t xml:space="preserve">Model Quality &amp; Drift Detection: </w:t>
      </w:r>
      <w:r>
        <w:rPr>
          <w:rFonts w:ascii="Segoe UI" w:hAnsi="Segoe UI"/>
          <w:color w:val="334155"/>
          <w:sz w:val="20"/>
        </w:rPr>
        <w:t>Integrates natively with Lakehouse Monitoring to track data drift, hallucination indicators, perplexity shifts, and toxic prompt patterns over time across production inputs.</w:t>
      </w:r>
    </w:p>
    <w:p>
      <w:pPr>
        <w:pStyle w:val="ListBullet"/>
        <w:spacing w:before="20" w:after="60" w:line="276" w:lineRule="auto"/>
      </w:pPr>
      <w:r>
        <w:rPr>
          <w:rFonts w:ascii="Segoe UI" w:hAnsi="Segoe UI"/>
          <w:b/>
          <w:color w:val="0F172A"/>
          <w:sz w:val="20"/>
        </w:rPr>
        <w:t xml:space="preserve">Security &amp; Compliance Verification: </w:t>
      </w:r>
      <w:r>
        <w:rPr>
          <w:rFonts w:ascii="Segoe UI" w:hAnsi="Segoe UI"/>
          <w:color w:val="334155"/>
          <w:sz w:val="20"/>
        </w:rPr>
        <w:t>Provides immutable, verifiable proof of compliance for sensitive data handling, verifying that AI Gateway safety guardrails and PII scrubbers are actively filtering requests as designed.</w:t>
      </w:r>
    </w:p>
    <w:p>
      <w:pPr>
        <w:spacing w:before="0" w:after="100" w:line="283" w:lineRule="auto"/>
      </w:pPr>
      <w:r>
        <w:rPr>
          <w:rFonts w:ascii="Segoe UI" w:hAnsi="Segoe UI"/>
          <w:b/>
          <w:color w:val="0F172A"/>
          <w:sz w:val="21"/>
        </w:rPr>
        <w:t xml:space="preserve">Inference Table Data Schema: </w:t>
      </w:r>
      <w:r>
        <w:rPr>
          <w:rFonts w:ascii="Segoe UI" w:hAnsi="Segoe UI"/>
          <w:color w:val="334155"/>
          <w:sz w:val="21"/>
        </w:rPr>
        <w:t>When enabled on an endpoint, Databricks automatically provisions a Delta table on Amazon S3 with this standardized schema:</w:t>
      </w:r>
    </w:p>
    <w:tbl>
      <w:tblPr>
        <w:tblW w:type="auto" w:w="0"/>
        <w:jc w:val="center"/>
        <w:tblLayout w:type="fixed"/>
        <w:tblLook w:firstColumn="1" w:firstRow="1" w:lastColumn="0" w:lastRow="0" w:noHBand="0" w:noVBand="1" w:val="04A0"/>
      </w:tblPr>
      <w:tblGrid>
        <w:gridCol w:w="2592"/>
        <w:gridCol w:w="1728"/>
        <w:gridCol w:w="5472"/>
      </w:tblGrid>
      <w:tr>
        <w:tc>
          <w:tcPr>
            <w:tcW w:type="dxa" w:w="3264"/>
            <w:shd w:fill="0F172A"/>
            <w:tcMar>
              <w:top w:w="80" w:type="dxa"/>
              <w:bottom w:w="80" w:type="dxa"/>
              <w:left w:w="100" w:type="dxa"/>
              <w:right w:w="100" w:type="dxa"/>
            </w:tcMar>
          </w:tcPr>
          <w:p>
            <w:r>
              <w:rPr>
                <w:rFonts w:ascii="Segoe UI" w:hAnsi="Segoe UI"/>
                <w:b/>
                <w:color w:val="FFFFFF"/>
                <w:sz w:val="19"/>
              </w:rPr>
              <w:t>Column Name</w:t>
            </w:r>
          </w:p>
        </w:tc>
        <w:tc>
          <w:tcPr>
            <w:tcW w:type="dxa" w:w="3264"/>
            <w:shd w:fill="0F172A"/>
            <w:tcMar>
              <w:top w:w="80" w:type="dxa"/>
              <w:bottom w:w="80" w:type="dxa"/>
              <w:left w:w="100" w:type="dxa"/>
              <w:right w:w="100" w:type="dxa"/>
            </w:tcMar>
          </w:tcPr>
          <w:p>
            <w:r>
              <w:rPr>
                <w:rFonts w:ascii="Segoe UI" w:hAnsi="Segoe UI"/>
                <w:b/>
                <w:color w:val="FFFFFF"/>
                <w:sz w:val="19"/>
              </w:rPr>
              <w:t>Data Type</w:t>
            </w:r>
          </w:p>
        </w:tc>
        <w:tc>
          <w:tcPr>
            <w:tcW w:type="dxa" w:w="3264"/>
            <w:shd w:fill="0F172A"/>
            <w:tcMar>
              <w:top w:w="80" w:type="dxa"/>
              <w:bottom w:w="80" w:type="dxa"/>
              <w:left w:w="100" w:type="dxa"/>
              <w:right w:w="100" w:type="dxa"/>
            </w:tcMar>
          </w:tcPr>
          <w:p>
            <w:r>
              <w:rPr>
                <w:rFonts w:ascii="Segoe UI" w:hAnsi="Segoe UI"/>
                <w:b/>
                <w:color w:val="FFFFFF"/>
                <w:sz w:val="19"/>
              </w:rPr>
              <w:t>Operational Purpose &amp; Description</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date</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DATE</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Partition key (YYYY-MM-DD). Crucial for query partition pruning and automated retention TTLs.</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timestamp_ms</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BIGINT</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Epoch timestamp in milliseconds when request reached model serving container.</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endpoint_name</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Name of the serving endpoint handling the API invocation.</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endpoint_id</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Internal UUID representing the endpoint resource in Unity Catalog.</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served_entity_name</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Entity route handling the call (e.g., external foundation model or custom ML model).</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served_entity_version</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Registered version number of the model entity (or '1' for external foundation routes).</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status_code</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INT</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HTTP response status code returned to client (e.g., 200 for OK, 429 for Rate Limit, 500 for Error).</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execution_time_ms</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DOUBLE</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Total model compute &amp; network execution time in milliseconds inside serving container.</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request_id</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Unique UUID per request for end-to-end distributed tracing and deduplication.</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request</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Raw JSON payload: prompt messages, temperature, max_tokens, stop sequences.</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response</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Raw JSON completion: choices, model outputs, and provider metadata.</w:t>
            </w:r>
          </w:p>
        </w:tc>
      </w:tr>
      <w:tr>
        <w:tc>
          <w:tcPr>
            <w:tcW w:type="dxa" w:w="3264"/>
            <w:shd w:fill="F8FAFC"/>
            <w:tcMar>
              <w:top w:w="65" w:type="dxa"/>
              <w:bottom w:w="65" w:type="dxa"/>
              <w:left w:w="85" w:type="dxa"/>
              <w:right w:w="85" w:type="dxa"/>
            </w:tcMar>
          </w:tcPr>
          <w:p>
            <w:pPr>
              <w:spacing w:line="276" w:lineRule="auto"/>
            </w:pPr>
            <w:r>
              <w:rPr>
                <w:rFonts w:ascii="Segoe UI" w:hAnsi="Segoe UI"/>
                <w:b/>
                <w:color w:val="0F172A"/>
                <w:sz w:val="17"/>
              </w:rPr>
              <w:t>sampling_fraction</w:t>
            </w:r>
          </w:p>
        </w:tc>
        <w:tc>
          <w:tcPr>
            <w:tcW w:type="dxa" w:w="3264"/>
            <w:shd w:fill="F8FAFC"/>
            <w:tcMar>
              <w:top w:w="65" w:type="dxa"/>
              <w:bottom w:w="65" w:type="dxa"/>
              <w:left w:w="85" w:type="dxa"/>
              <w:right w:w="85" w:type="dxa"/>
            </w:tcMar>
          </w:tcPr>
          <w:p>
            <w:pPr>
              <w:spacing w:line="276" w:lineRule="auto"/>
            </w:pPr>
            <w:r>
              <w:rPr>
                <w:rFonts w:ascii="Segoe UI" w:hAnsi="Segoe UI"/>
                <w:color w:val="EA580C"/>
                <w:sz w:val="17"/>
              </w:rPr>
              <w:t>DOUBLE</w:t>
            </w:r>
          </w:p>
        </w:tc>
        <w:tc>
          <w:tcPr>
            <w:tcW w:type="dxa" w:w="3264"/>
            <w:shd w:fill="F8FAFC"/>
            <w:tcMar>
              <w:top w:w="65" w:type="dxa"/>
              <w:bottom w:w="65" w:type="dxa"/>
              <w:left w:w="85" w:type="dxa"/>
              <w:right w:w="85" w:type="dxa"/>
            </w:tcMar>
          </w:tcPr>
          <w:p>
            <w:pPr>
              <w:spacing w:line="276" w:lineRule="auto"/>
            </w:pPr>
            <w:r>
              <w:rPr>
                <w:rFonts w:ascii="Segoe UI" w:hAnsi="Segoe UI"/>
                <w:color w:val="334155"/>
                <w:sz w:val="17"/>
              </w:rPr>
              <w:t>Configured logging sample rate (default is 1.0 for 100% full capture).</w:t>
            </w:r>
          </w:p>
        </w:tc>
      </w:tr>
      <w:tr>
        <w:tc>
          <w:tcPr>
            <w:tcW w:type="dxa" w:w="3264"/>
            <w:shd w:fill="FFFFFF"/>
            <w:tcMar>
              <w:top w:w="65" w:type="dxa"/>
              <w:bottom w:w="65" w:type="dxa"/>
              <w:left w:w="85" w:type="dxa"/>
              <w:right w:w="85" w:type="dxa"/>
            </w:tcMar>
          </w:tcPr>
          <w:p>
            <w:pPr>
              <w:spacing w:line="276" w:lineRule="auto"/>
            </w:pPr>
            <w:r>
              <w:rPr>
                <w:rFonts w:ascii="Segoe UI" w:hAnsi="Segoe UI"/>
                <w:b/>
                <w:color w:val="0F172A"/>
                <w:sz w:val="17"/>
              </w:rPr>
              <w:t>client_request_id</w:t>
            </w:r>
          </w:p>
        </w:tc>
        <w:tc>
          <w:tcPr>
            <w:tcW w:type="dxa" w:w="3264"/>
            <w:shd w:fill="FFFFFF"/>
            <w:tcMar>
              <w:top w:w="65" w:type="dxa"/>
              <w:bottom w:w="65" w:type="dxa"/>
              <w:left w:w="85" w:type="dxa"/>
              <w:right w:w="85" w:type="dxa"/>
            </w:tcMar>
          </w:tcPr>
          <w:p>
            <w:pPr>
              <w:spacing w:line="276" w:lineRule="auto"/>
            </w:pPr>
            <w:r>
              <w:rPr>
                <w:rFonts w:ascii="Segoe UI" w:hAnsi="Segoe UI"/>
                <w:color w:val="EA580C"/>
                <w:sz w:val="17"/>
              </w:rPr>
              <w:t>STRING</w:t>
            </w:r>
          </w:p>
        </w:tc>
        <w:tc>
          <w:tcPr>
            <w:tcW w:type="dxa" w:w="3264"/>
            <w:shd w:fill="FFFFFF"/>
            <w:tcMar>
              <w:top w:w="65" w:type="dxa"/>
              <w:bottom w:w="65" w:type="dxa"/>
              <w:left w:w="85" w:type="dxa"/>
              <w:right w:w="85" w:type="dxa"/>
            </w:tcMar>
          </w:tcPr>
          <w:p>
            <w:pPr>
              <w:spacing w:line="276" w:lineRule="auto"/>
            </w:pPr>
            <w:r>
              <w:rPr>
                <w:rFonts w:ascii="Segoe UI" w:hAnsi="Segoe UI"/>
                <w:color w:val="334155"/>
                <w:sz w:val="17"/>
              </w:rPr>
              <w:t>Custom client-supplied tracing header (passed via HTTP header X-Request-Id).</w:t>
            </w:r>
          </w:p>
        </w:tc>
      </w:tr>
    </w:tbl>
    <w:p>
      <w:pPr>
        <w:spacing w:before="40" w:after="40"/>
      </w:pPr>
    </w:p>
    <w:p>
      <w:pPr>
        <w:spacing w:before="0" w:after="100" w:line="283" w:lineRule="auto"/>
      </w:pPr>
      <w:r>
        <w:rPr>
          <w:rFonts w:ascii="Segoe UI" w:hAnsi="Segoe UI"/>
          <w:b/>
          <w:color w:val="0F172A"/>
          <w:sz w:val="21"/>
        </w:rPr>
        <w:t xml:space="preserve">Production Telemetry &amp; Token Parsing Query: </w:t>
      </w:r>
      <w:r>
        <w:rPr>
          <w:rFonts w:ascii="Segoe UI" w:hAnsi="Segoe UI"/>
          <w:color w:val="334155"/>
          <w:sz w:val="21"/>
        </w:rPr>
        <w:t>Because raw payloads are stored as JSON strings, you extract token consumption, prompt text, and completion outputs using native Databricks SQL path expressions:</w:t>
      </w:r>
    </w:p>
    <w:p>
      <w:pPr>
        <w:spacing w:before="100" w:after="40"/>
      </w:pPr>
      <w:r>
        <w:rPr>
          <w:rFonts w:ascii="Segoe UI" w:hAnsi="Segoe UI"/>
          <w:i/>
          <w:color w:val="64748B"/>
          <w:sz w:val="18"/>
        </w:rPr>
        <w:t>Databricks SQL query parsing raw JSON payloads into operational telemetry</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SELECT</w:t>
              <w:br/>
              <w:t xml:space="preserve">    FROM_UNIXTIME(timestamp_ms / 1000) AS request_time,</w:t>
              <w:br/>
              <w:t xml:space="preserve">    served_entity_name,</w:t>
              <w:br/>
              <w:t xml:space="preserve">    status_code,</w:t>
              <w:br/>
              <w:t xml:space="preserve">    execution_time_ms,</w:t>
              <w:br/>
              <w:t xml:space="preserve">    -- Extracting prompt &amp; completion strings</w:t>
              <w:br/>
              <w:t xml:space="preserve">    request:messages[0]:content::string AS user_prompt,</w:t>
              <w:br/>
              <w:t xml:space="preserve">    response:choices[0]:message:content::string AS model_response,</w:t>
              <w:br/>
              <w:t xml:space="preserve">    -- Extracting usage tokens for cost monitoring</w:t>
              <w:br/>
              <w:t xml:space="preserve">    response:usage:prompt_tokens::int AS input_tokens,</w:t>
              <w:br/>
              <w:t xml:space="preserve">    response:usage:completion_tokens::int AS output_tokens,</w:t>
              <w:br/>
              <w:t xml:space="preserve">    response:usage:total_tokens::int AS total_tokens</w:t>
              <w:br/>
              <w:t>FROM catalog.schema.enterprise_gateway_payload</w:t>
              <w:br/>
              <w:t>WHERE date &gt;= CURRENT_DATE() - INTERVAL 7 DAYS</w:t>
              <w:br/>
              <w:t xml:space="preserve">  AND status_code = 200;</w:t>
            </w:r>
          </w:p>
        </w:tc>
      </w:tr>
    </w:tbl>
    <w:p>
      <w:pPr>
        <w:spacing w:before="0" w:after="60"/>
      </w:pPr>
    </w:p>
    <w:p>
      <w:pPr>
        <w:pStyle w:val="Heading1"/>
        <w:spacing w:before="280" w:after="80"/>
      </w:pPr>
      <w:r>
        <w:rPr>
          <w:rFonts w:ascii="Segoe UI" w:hAnsi="Segoe UI"/>
          <w:b/>
          <w:color w:val="0F172A"/>
          <w:sz w:val="28"/>
        </w:rPr>
        <w:t>4. Comprehensive FinOps Cost-Saving Framework</w:t>
      </w:r>
    </w:p>
    <w:p>
      <w:pPr>
        <w:spacing w:before="0" w:after="100" w:line="283" w:lineRule="auto"/>
      </w:pPr>
      <w:r>
        <w:rPr>
          <w:rFonts w:ascii="Segoe UI" w:hAnsi="Segoe UI"/>
          <w:color w:val="334155"/>
          <w:sz w:val="21"/>
        </w:rPr>
        <w:t>Operating AI endpoints cost-effectively requires combining gateway-level controls, compute rightsizing, and storage lifecycle management across both Databricks and AWS:</w:t>
      </w:r>
    </w:p>
    <w:tbl>
      <w:tblPr>
        <w:tblW w:type="auto" w:w="0"/>
        <w:jc w:val="center"/>
        <w:tblLayout w:type="fixed"/>
        <w:tblLook w:firstColumn="1" w:firstRow="1" w:lastColumn="0" w:lastRow="0" w:noHBand="0" w:noVBand="1" w:val="04A0"/>
      </w:tblPr>
      <w:tblGrid>
        <w:gridCol w:w="2592"/>
        <w:gridCol w:w="3744"/>
        <w:gridCol w:w="3456"/>
      </w:tblGrid>
      <w:tr>
        <w:tc>
          <w:tcPr>
            <w:tcW w:type="dxa" w:w="3264"/>
            <w:shd w:fill="0F172A"/>
            <w:tcMar>
              <w:top w:w="80" w:type="dxa"/>
              <w:bottom w:w="80" w:type="dxa"/>
              <w:left w:w="100" w:type="dxa"/>
              <w:right w:w="100" w:type="dxa"/>
            </w:tcMar>
          </w:tcPr>
          <w:p>
            <w:r>
              <w:rPr>
                <w:rFonts w:ascii="Segoe UI" w:hAnsi="Segoe UI"/>
                <w:b/>
                <w:color w:val="FFFFFF"/>
                <w:sz w:val="19"/>
              </w:rPr>
              <w:t>Strategy &amp; Mechanism</w:t>
            </w:r>
          </w:p>
        </w:tc>
        <w:tc>
          <w:tcPr>
            <w:tcW w:type="dxa" w:w="3264"/>
            <w:shd w:fill="0F172A"/>
            <w:tcMar>
              <w:top w:w="80" w:type="dxa"/>
              <w:bottom w:w="80" w:type="dxa"/>
              <w:left w:w="100" w:type="dxa"/>
              <w:right w:w="100" w:type="dxa"/>
            </w:tcMar>
          </w:tcPr>
          <w:p>
            <w:r>
              <w:rPr>
                <w:rFonts w:ascii="Segoe UI" w:hAnsi="Segoe UI"/>
                <w:b/>
                <w:color w:val="FFFFFF"/>
                <w:sz w:val="19"/>
              </w:rPr>
              <w:t>AWS &amp; Databricks Technical Details</w:t>
            </w:r>
          </w:p>
        </w:tc>
        <w:tc>
          <w:tcPr>
            <w:tcW w:type="dxa" w:w="3264"/>
            <w:shd w:fill="0F172A"/>
            <w:tcMar>
              <w:top w:w="80" w:type="dxa"/>
              <w:bottom w:w="80" w:type="dxa"/>
              <w:left w:w="100" w:type="dxa"/>
              <w:right w:w="100" w:type="dxa"/>
            </w:tcMar>
          </w:tcPr>
          <w:p>
            <w:r>
              <w:rPr>
                <w:rFonts w:ascii="Segoe UI" w:hAnsi="Segoe UI"/>
                <w:b/>
                <w:color w:val="FFFFFF"/>
                <w:sz w:val="19"/>
              </w:rPr>
              <w:t>Recommended Production Target</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Rate Limiting &amp; Token Caps</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Configures QPM and TPM rate limits in AI Gateway. Cuts off agent infinite loops at HTTP 429.</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All multi-tenant endpoints and autonomous agentic workflows.</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Scale-to-Zero &amp; Min Concurrency</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De-allocates AWS EC2 instances after 20 mins of inactivity. Use min_concurrency=1 for low latency.</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Scale-to-zero for Dev/QA; min_concurrency=1 for production user-facing APIs.</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Pay-Per-Token vs. Provisioned</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Pay-per-token Foundation APIs vs. dedicated provisioned throughput (concurrency-locked instances).</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Pay-per-token for bursty/ad-hoc tasks; provisioned only when steady volume exceeds ~150 QPS.</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Small Language Model (SLM) Downgrade</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Routes classification, schema validation, and routing tasks to Llama 3.1 8B or Haiku.</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Upfront pipeline steps where using 70B+ frontier models wastes 80-90% of token spend.</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Prompt Prefix Caching</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Static prompt prefixes (system instructions, documents) reused across calls get 50-90% discount.</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RAG pipelines, fixed customer support contexts, and structured schema parsers.</w:t>
            </w:r>
          </w:p>
        </w:tc>
      </w:tr>
      <w:tr>
        <w:tc>
          <w:tcPr>
            <w:tcW w:type="dxa" w:w="3264"/>
            <w:shd w:fill="F8FAFC"/>
            <w:tcMar>
              <w:top w:w="70" w:type="dxa"/>
              <w:bottom w:w="70" w:type="dxa"/>
              <w:left w:w="90" w:type="dxa"/>
              <w:right w:w="90" w:type="dxa"/>
            </w:tcMar>
          </w:tcPr>
          <w:p>
            <w:pPr>
              <w:spacing w:line="276" w:lineRule="auto"/>
            </w:pPr>
            <w:r>
              <w:rPr>
                <w:rFonts w:ascii="Segoe UI" w:hAnsi="Segoe UI"/>
                <w:b/>
                <w:color w:val="0F172A"/>
                <w:sz w:val="17"/>
              </w:rPr>
              <w:t>Semantic Caching (Vector Search)</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Returns pre-computed responses for semantically identical queries without calling the LLM.</w:t>
            </w:r>
          </w:p>
        </w:tc>
        <w:tc>
          <w:tcPr>
            <w:tcW w:type="dxa" w:w="3264"/>
            <w:shd w:fill="F8FAFC"/>
            <w:tcMar>
              <w:top w:w="70" w:type="dxa"/>
              <w:bottom w:w="70" w:type="dxa"/>
              <w:left w:w="90" w:type="dxa"/>
              <w:right w:w="90" w:type="dxa"/>
            </w:tcMar>
          </w:tcPr>
          <w:p>
            <w:pPr>
              <w:spacing w:line="276" w:lineRule="auto"/>
            </w:pPr>
            <w:r>
              <w:rPr>
                <w:rFonts w:ascii="Segoe UI" w:hAnsi="Segoe UI"/>
                <w:color w:val="334155"/>
                <w:sz w:val="17"/>
              </w:rPr>
              <w:t>High-volume repetitive queries (FAQ bots, documentation copilots). Bills 0 tokens.</w:t>
            </w:r>
          </w:p>
        </w:tc>
      </w:tr>
      <w:tr>
        <w:tc>
          <w:tcPr>
            <w:tcW w:type="dxa" w:w="3264"/>
            <w:shd w:fill="FFFFFF"/>
            <w:tcMar>
              <w:top w:w="70" w:type="dxa"/>
              <w:bottom w:w="70" w:type="dxa"/>
              <w:left w:w="90" w:type="dxa"/>
              <w:right w:w="90" w:type="dxa"/>
            </w:tcMar>
          </w:tcPr>
          <w:p>
            <w:pPr>
              <w:spacing w:line="276" w:lineRule="auto"/>
            </w:pPr>
            <w:r>
              <w:rPr>
                <w:rFonts w:ascii="Segoe UI" w:hAnsi="Segoe UI"/>
                <w:b/>
                <w:color w:val="0F172A"/>
                <w:sz w:val="17"/>
              </w:rPr>
              <w:t>Jobs Compute for Offline Batch (ai_query)</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Executes inference in batch PySpark jobs instead of invoking real-time Model Serving endpoints.</w:t>
            </w:r>
          </w:p>
        </w:tc>
        <w:tc>
          <w:tcPr>
            <w:tcW w:type="dxa" w:w="3264"/>
            <w:shd w:fill="FFFFFF"/>
            <w:tcMar>
              <w:top w:w="70" w:type="dxa"/>
              <w:bottom w:w="70" w:type="dxa"/>
              <w:left w:w="90" w:type="dxa"/>
              <w:right w:w="90" w:type="dxa"/>
            </w:tcMar>
          </w:tcPr>
          <w:p>
            <w:pPr>
              <w:spacing w:line="276" w:lineRule="auto"/>
            </w:pPr>
            <w:r>
              <w:rPr>
                <w:rFonts w:ascii="Segoe UI" w:hAnsi="Segoe UI"/>
                <w:color w:val="334155"/>
                <w:sz w:val="17"/>
              </w:rPr>
              <w:t>Historical backfills, bulk sentiment analysis, offline feature generation. Costs ~$0.15 vs ~$0.55/DBU.</w:t>
            </w:r>
          </w:p>
        </w:tc>
      </w:tr>
    </w:tbl>
    <w:p>
      <w:pPr>
        <w:spacing w:before="40" w:after="40"/>
      </w:pPr>
    </w:p>
    <w:p>
      <w:pPr>
        <w:spacing w:before="0" w:after="100" w:line="283" w:lineRule="auto"/>
      </w:pPr>
      <w:r>
        <w:rPr>
          <w:rFonts w:ascii="Segoe UI" w:hAnsi="Segoe UI"/>
          <w:b/>
          <w:color w:val="0F172A"/>
          <w:sz w:val="21"/>
        </w:rPr>
        <w:t xml:space="preserve">Tracking Multi-Tenant Costs by Cost Center: </w:t>
      </w:r>
      <w:r>
        <w:rPr>
          <w:rFonts w:ascii="Segoe UI" w:hAnsi="Segoe UI"/>
          <w:color w:val="334155"/>
          <w:sz w:val="21"/>
        </w:rPr>
        <w:t>Attach AWS-aligned cost allocation tags (Environment, CostCenter, ProjectID) to every endpoint. Use this query against Databricks system billing tables to calculate exact DBU costs per team and map them to your AWS Cost &amp; Usage Report (CUR):</w:t>
      </w:r>
    </w:p>
    <w:p>
      <w:pPr>
        <w:spacing w:before="100" w:after="40"/>
      </w:pPr>
      <w:r>
        <w:rPr>
          <w:rFonts w:ascii="Segoe UI" w:hAnsi="Segoe UI"/>
          <w:i/>
          <w:color w:val="64748B"/>
          <w:sz w:val="18"/>
        </w:rPr>
        <w:t>Databricks SQL query for departmental chargeback tracking</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 xml:space="preserve">SELECT </w:t>
              <w:br/>
              <w:t xml:space="preserve">    usage_date,</w:t>
              <w:br/>
              <w:t xml:space="preserve">    custom_tags['cost_center'] AS aws_cost_center,</w:t>
              <w:br/>
              <w:t xml:space="preserve">    custom_tags['environment'] AS deployment_env,</w:t>
              <w:br/>
              <w:t xml:space="preserve">    usage_metadata.endpoint_name AS serving_endpoint,</w:t>
              <w:br/>
              <w:t xml:space="preserve">    SUM(usage_quantity) AS total_dbus_consumed,</w:t>
              <w:br/>
              <w:t xml:space="preserve">    ROUND(SUM(usage_quantity) * 0.55, 2) AS estimated_dbu_cost_usd</w:t>
              <w:br/>
              <w:t>FROM system.billing.usage</w:t>
              <w:br/>
              <w:t>WHERE billing_origin_product = 'MODEL_SERVING'</w:t>
              <w:br/>
              <w:t xml:space="preserve">  AND usage_date &gt;= CURRENT_DATE() - INTERVAL 30 DAYS</w:t>
              <w:br/>
              <w:t>GROUP BY 1, 2, 3, 4</w:t>
              <w:br/>
              <w:t>ORDER BY total_dbus_consumed DESC;</w:t>
            </w:r>
          </w:p>
        </w:tc>
      </w:tr>
    </w:tbl>
    <w:p>
      <w:pPr>
        <w:spacing w:before="0" w:after="60"/>
      </w:pPr>
    </w:p>
    <w:p>
      <w:pPr>
        <w:pStyle w:val="Heading1"/>
        <w:spacing w:before="280" w:after="80"/>
      </w:pPr>
      <w:r>
        <w:rPr>
          <w:rFonts w:ascii="Segoe UI" w:hAnsi="Segoe UI"/>
          <w:b/>
          <w:color w:val="0F172A"/>
          <w:sz w:val="28"/>
        </w:rPr>
        <w:t>5. Infrastructure-as-Code: Databricks Asset Bundles (DABs) on AWS</w:t>
      </w:r>
    </w:p>
    <w:p>
      <w:pPr>
        <w:spacing w:before="0" w:after="100" w:line="283" w:lineRule="auto"/>
      </w:pPr>
      <w:r>
        <w:rPr>
          <w:rFonts w:ascii="Segoe UI" w:hAnsi="Segoe UI"/>
          <w:color w:val="334155"/>
          <w:sz w:val="21"/>
        </w:rPr>
        <w:t>To deploy and version-control your Single AI Gateway infrastructure across AWS dev, staging, and production workspaces, use Databricks Asset Bundles (DABs). This ensures consistent configuration of rate limits, external secrets, and compute policies.</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Recommended Project Layout</w:t>
              <w:br/>
            </w:r>
            <w:r>
              <w:rPr>
                <w:rFonts w:ascii="Segoe UI" w:hAnsi="Segoe UI"/>
                <w:color w:val="334155"/>
                <w:sz w:val="19"/>
              </w:rPr>
              <w:t>ai-gateway-aws-bundle/</w:t>
              <w:br/>
              <w:t>├── databricks.yml                     # Multi-target AWS workspace definitions &amp; Service Principals</w:t>
              <w:br/>
              <w:t>└── resources/</w:t>
              <w:br/>
              <w:t xml:space="preserve">    └── serving_endpoints.yml          # AI Gateway endpoints, rate limits &amp; served entities</w:t>
            </w:r>
          </w:p>
        </w:tc>
      </w:tr>
    </w:tbl>
    <w:p>
      <w:pPr>
        <w:spacing w:before="0" w:after="60"/>
      </w:pPr>
    </w:p>
    <w:p>
      <w:pPr>
        <w:spacing w:before="0" w:after="100" w:line="283" w:lineRule="auto"/>
      </w:pPr>
      <w:r>
        <w:rPr>
          <w:rFonts w:ascii="Segoe UI" w:hAnsi="Segoe UI"/>
          <w:b/>
          <w:color w:val="0F172A"/>
          <w:sz w:val="21"/>
        </w:rPr>
        <w:t xml:space="preserve">1. Bundle Configuration (databricks.yml): </w:t>
      </w:r>
      <w:r>
        <w:rPr>
          <w:rFonts w:ascii="Segoe UI" w:hAnsi="Segoe UI"/>
          <w:color w:val="334155"/>
          <w:sz w:val="21"/>
        </w:rPr>
        <w:t>The main bundle configuration (databricks.yml) defines multi-environment targets and authentication:</w:t>
      </w:r>
    </w:p>
    <w:p>
      <w:pPr>
        <w:spacing w:before="100" w:after="40"/>
      </w:pPr>
      <w:r>
        <w:rPr>
          <w:rFonts w:ascii="Segoe UI" w:hAnsi="Segoe UI"/>
          <w:i/>
          <w:color w:val="64748B"/>
          <w:sz w:val="18"/>
        </w:rPr>
        <w:t>databricks.yml configuration for AWS workspaces</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bundle:</w:t>
              <w:br/>
              <w:t xml:space="preserve">  name: databricks-ai-gateway-aws</w:t>
              <w:br/>
              <w:br/>
              <w:t>include:</w:t>
              <w:br/>
              <w:t xml:space="preserve">  - resources/*.yml</w:t>
              <w:br/>
              <w:br/>
              <w:t>variables:</w:t>
              <w:br/>
              <w:t xml:space="preserve">  aws_cost_center:</w:t>
              <w:br/>
              <w:t xml:space="preserve">    description: "AWS Cost Allocation Tag for FinOps Chargebacks"</w:t>
              <w:br/>
              <w:t xml:space="preserve">    default: "finops-ai-workloads"</w:t>
              <w:br/>
              <w:br/>
              <w:t>targets:</w:t>
              <w:br/>
              <w:t xml:space="preserve">  dev:</w:t>
              <w:br/>
              <w:t xml:space="preserve">    mode: development</w:t>
              <w:br/>
              <w:t xml:space="preserve">    default: true</w:t>
              <w:br/>
              <w:t xml:space="preserve">    workspace:</w:t>
              <w:br/>
              <w:t xml:space="preserve">      host: https://dbc-aws-dev-instance.cloud.databricks.com</w:t>
              <w:br/>
              <w:t xml:space="preserve">    variables:</w:t>
              <w:br/>
              <w:t xml:space="preserve">      environment: dev</w:t>
              <w:br/>
              <w:br/>
              <w:t xml:space="preserve">  prod:</w:t>
              <w:br/>
              <w:t xml:space="preserve">    mode: production</w:t>
              <w:br/>
              <w:t xml:space="preserve">    workspace:</w:t>
              <w:br/>
              <w:t xml:space="preserve">      host: https://dbc-aws-prod-instance.cloud.databricks.com</w:t>
              <w:br/>
              <w:t xml:space="preserve">    run_as:</w:t>
              <w:br/>
              <w:t xml:space="preserve">      # AWS Databricks OAuth Service Principal Application ID</w:t>
              <w:br/>
              <w:t xml:space="preserve">      service_principal_name: 11111111-2222-3333-4444-555555555555</w:t>
              <w:br/>
              <w:t xml:space="preserve">    variables:</w:t>
              <w:br/>
              <w:t xml:space="preserve">      environment: prod</w:t>
            </w:r>
          </w:p>
        </w:tc>
      </w:tr>
    </w:tbl>
    <w:p>
      <w:pPr>
        <w:spacing w:before="0" w:after="60"/>
      </w:pPr>
    </w:p>
    <w:p>
      <w:pPr>
        <w:spacing w:before="0" w:after="100" w:line="283" w:lineRule="auto"/>
      </w:pPr>
      <w:r>
        <w:rPr>
          <w:rFonts w:ascii="Segoe UI" w:hAnsi="Segoe UI"/>
          <w:b/>
          <w:color w:val="0F172A"/>
          <w:sz w:val="21"/>
        </w:rPr>
        <w:t xml:space="preserve">2. Resource Definition (resources/serving_endpoints.yml): </w:t>
      </w:r>
      <w:r>
        <w:rPr>
          <w:rFonts w:ascii="Segoe UI" w:hAnsi="Segoe UI"/>
          <w:color w:val="334155"/>
          <w:sz w:val="21"/>
        </w:rPr>
        <w:t>The resources configuration defines endpoints, AI Gateway rate limits, and compute sizing:</w:t>
      </w:r>
    </w:p>
    <w:p>
      <w:pPr>
        <w:spacing w:before="100" w:after="40"/>
      </w:pPr>
      <w:r>
        <w:rPr>
          <w:rFonts w:ascii="Segoe UI" w:hAnsi="Segoe UI"/>
          <w:i/>
          <w:color w:val="64748B"/>
          <w:sz w:val="18"/>
        </w:rPr>
        <w:t>resources/serving_endpoints.yml defining AI Gateway entities and self-hosted models</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resources:</w:t>
              <w:br/>
              <w:t xml:space="preserve">  model_serving_endpoints:</w:t>
              <w:br/>
              <w:t xml:space="preserve">    # -----------------------------------------------------------------</w:t>
              <w:br/>
              <w:t xml:space="preserve">    # 1. External Frontier LLM Route with AI Gateway &amp; Rate Caps</w:t>
              <w:br/>
              <w:t xml:space="preserve">    # -----------------------------------------------------------------</w:t>
              <w:br/>
              <w:t xml:space="preserve">    aws_llm_gateway:</w:t>
              <w:br/>
              <w:t xml:space="preserve">      name: ${bundle.target}-enterprise-gateway</w:t>
              <w:br/>
              <w:t xml:space="preserve">      tags:</w:t>
              <w:br/>
              <w:t xml:space="preserve">        - key: cost_center</w:t>
              <w:br/>
              <w:t xml:space="preserve">          value: ${var.aws_cost_center}</w:t>
              <w:br/>
              <w:t xml:space="preserve">        - key: environment</w:t>
              <w:br/>
              <w:t xml:space="preserve">          value: ${var.environment}</w:t>
              <w:br/>
              <w:t xml:space="preserve">        - key: cloud_provider</w:t>
              <w:br/>
              <w:t xml:space="preserve">          value: aws</w:t>
              <w:br/>
              <w:t xml:space="preserve">      config:</w:t>
              <w:br/>
              <w:t xml:space="preserve">        served_entities:</w:t>
              <w:br/>
              <w:t xml:space="preserve">          - name: llama-route</w:t>
              <w:br/>
              <w:t xml:space="preserve">            external_model:</w:t>
              <w:br/>
              <w:t xml:space="preserve">              name: databricks-meta-llama-3-3-70b-instruct</w:t>
              <w:br/>
              <w:t xml:space="preserve">              provider: databricks-model-serving</w:t>
              <w:br/>
              <w:t xml:space="preserve">              task: llm/v1/chat</w:t>
              <w:br/>
              <w:t xml:space="preserve">        ai_gateway:</w:t>
              <w:br/>
              <w:t xml:space="preserve">          rate_limits:</w:t>
              <w:br/>
              <w:t xml:space="preserve">            - key: user</w:t>
              <w:br/>
              <w:t xml:space="preserve">              renewal_period: minute</w:t>
              <w:br/>
              <w:t xml:space="preserve">              calls: 60</w:t>
              <w:br/>
              <w:t xml:space="preserve">            - key: user</w:t>
              <w:br/>
              <w:t xml:space="preserve">              renewal_period: minute</w:t>
              <w:br/>
              <w:t xml:space="preserve">              tokens: 45000</w:t>
              <w:br/>
              <w:t xml:space="preserve">            - key: endpoint</w:t>
              <w:br/>
              <w:t xml:space="preserve">              renewal_period: minute</w:t>
              <w:br/>
              <w:t xml:space="preserve">              calls: 1500</w:t>
              <w:br/>
              <w:br/>
              <w:t xml:space="preserve">    # -----------------------------------------------------------------</w:t>
              <w:br/>
              <w:t xml:space="preserve">    # 2. Self-Hosted Custom Embedding / Small Classifier on EC2</w:t>
              <w:br/>
              <w:t xml:space="preserve">    # -----------------------------------------------------------------</w:t>
              <w:br/>
              <w:t xml:space="preserve">    aws_custom_classifier:</w:t>
              <w:br/>
              <w:t xml:space="preserve">      name: ${bundle.target}-custom-bert</w:t>
              <w:br/>
              <w:t xml:space="preserve">      tags:</w:t>
              <w:br/>
              <w:t xml:space="preserve">        - key: cost_center</w:t>
              <w:br/>
              <w:t xml:space="preserve">          value: ${var.aws_cost_center}</w:t>
              <w:br/>
              <w:t xml:space="preserve">        - key: environment</w:t>
              <w:br/>
              <w:t xml:space="preserve">          value: ${var.environment}</w:t>
              <w:br/>
              <w:t xml:space="preserve">      config:</w:t>
              <w:br/>
              <w:t xml:space="preserve">        served_entities:</w:t>
              <w:br/>
              <w:t xml:space="preserve">          - name: bert-classifier-entity</w:t>
              <w:br/>
              <w:t xml:space="preserve">            entity_name: ${bundle.target}_catalog.nlp_schema.custom_bert</w:t>
              <w:br/>
              <w:t xml:space="preserve">            entity_version: "1"</w:t>
              <w:br/>
              <w:t xml:space="preserve">            workload_size: Small</w:t>
              <w:br/>
              <w:t xml:space="preserve">            scale_to_zero_enabled: true</w:t>
            </w:r>
          </w:p>
        </w:tc>
      </w:tr>
    </w:tbl>
    <w:p>
      <w:pPr>
        <w:spacing w:before="0" w:after="60"/>
      </w:pPr>
    </w:p>
    <w:p>
      <w:pPr>
        <w:spacing w:before="0" w:after="100" w:line="283" w:lineRule="auto"/>
      </w:pPr>
      <w:r>
        <w:rPr>
          <w:rFonts w:ascii="Segoe UI" w:hAnsi="Segoe UI"/>
          <w:b/>
          <w:color w:val="0F172A"/>
          <w:sz w:val="21"/>
        </w:rPr>
        <w:t xml:space="preserve">3. CLI Deployment Workflow: </w:t>
      </w:r>
      <w:r>
        <w:rPr>
          <w:rFonts w:ascii="Segoe UI" w:hAnsi="Segoe UI"/>
          <w:color w:val="334155"/>
          <w:sz w:val="21"/>
        </w:rPr>
        <w:t>Execute deployment through standard Databricks CLI commands:</w:t>
      </w:r>
    </w:p>
    <w:p>
      <w:pPr>
        <w:spacing w:before="100" w:after="40"/>
      </w:pPr>
      <w:r>
        <w:rPr>
          <w:rFonts w:ascii="Segoe UI" w:hAnsi="Segoe UI"/>
          <w:i/>
          <w:color w:val="64748B"/>
          <w:sz w:val="18"/>
        </w:rPr>
        <w:t>CLI deployment commands for Databricks Asset Bundles</w:t>
      </w:r>
    </w:p>
    <w:tbl>
      <w:tblPr>
        <w:tblW w:type="auto" w:w="0"/>
        <w:jc w:val="center"/>
        <w:tblLayout w:type="fixed"/>
        <w:tblLook w:firstColumn="1" w:firstRow="1" w:lastColumn="0" w:lastRow="0" w:noHBand="0" w:noVBand="1" w:val="04A0"/>
      </w:tblPr>
      <w:tblGrid>
        <w:gridCol w:w="9792"/>
      </w:tblGrid>
      <w:tr>
        <w:tc>
          <w:tcPr>
            <w:tcW w:type="dxa" w:w="9792"/>
            <w:shd w:fill="0F172A"/>
            <w:tcMar>
              <w:top w:w="110" w:type="dxa"/>
              <w:bottom w:w="110" w:type="dxa"/>
              <w:left w:w="150" w:type="dxa"/>
              <w:right w:w="150" w:type="dxa"/>
            </w:tcMar>
            <w:tcBorders>
              <w:top w:val="none"/>
              <w:left w:val="none"/>
              <w:bottom w:val="none"/>
              <w:right w:val="none"/>
            </w:tcBorders>
          </w:tcPr>
          <w:p>
            <w:pPr>
              <w:spacing w:before="0" w:after="0" w:line="276" w:lineRule="auto"/>
            </w:pPr>
            <w:r>
              <w:rPr>
                <w:rFonts w:ascii="Consolas" w:hAnsi="Consolas"/>
                <w:color w:val="F1F5F9"/>
                <w:sz w:val="17"/>
              </w:rPr>
              <w:t># Validate syntax and check for missing bundle variables</w:t>
              <w:br/>
              <w:t>databricks bundle validate -t dev</w:t>
              <w:br/>
              <w:br/>
              <w:t># Preview resources that will be deployed</w:t>
              <w:br/>
              <w:t>databricks bundle plan -t dev</w:t>
              <w:br/>
              <w:br/>
              <w:t># Deploy to AWS Development Workspace</w:t>
              <w:br/>
              <w:t>databricks bundle deploy -t dev</w:t>
              <w:br/>
              <w:br/>
              <w:t># Deploy to AWS Production Workspace via CI/CD (GitHub Actions / GitLab CI)</w:t>
              <w:br/>
              <w:t>databricks bundle deploy -t prod</w:t>
            </w:r>
          </w:p>
        </w:tc>
      </w:tr>
    </w:tbl>
    <w:p>
      <w:pPr>
        <w:spacing w:before="0" w:after="60"/>
      </w:pPr>
    </w:p>
    <w:p>
      <w:pPr>
        <w:pStyle w:val="Heading1"/>
        <w:spacing w:before="280" w:after="80"/>
      </w:pPr>
      <w:r>
        <w:rPr>
          <w:rFonts w:ascii="Segoe UI" w:hAnsi="Segoe UI"/>
          <w:b/>
          <w:color w:val="0F172A"/>
          <w:sz w:val="28"/>
        </w:rPr>
        <w:t>6. Advanced AWS FinOps &amp; Operational Field Notes</w:t>
      </w:r>
    </w:p>
    <w:p>
      <w:pPr>
        <w:spacing w:before="0" w:after="100" w:line="283" w:lineRule="auto"/>
      </w:pPr>
      <w:r>
        <w:rPr>
          <w:rFonts w:ascii="Segoe UI" w:hAnsi="Segoe UI"/>
          <w:color w:val="334155"/>
          <w:sz w:val="21"/>
        </w:rPr>
        <w:t>Operating Databricks on AWS introduces distinct architectural levers that don't exist on generic setups. Apply these field-tested principles to eliminate cloud waste:</w:t>
      </w: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Static Prompt Prefix Caching</w:t>
              <w:br/>
            </w:r>
            <w:r>
              <w:rPr>
                <w:rFonts w:ascii="Segoe UI" w:hAnsi="Segoe UI"/>
                <w:color w:val="334155"/>
                <w:sz w:val="19"/>
              </w:rPr>
              <w:t>Input tokens account for up to 80% of costs in document parsing and RAG. External providers and Mosaic Foundation endpoints support prefix caching. Structure prompts so system prompts, schemas, and context remain strictly at the top of the prompt string, with dynamic user inputs at the end. Cached prefix tokens receive a 50% to 90% discount on input rates.</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Implement Semantic Caching with Databricks Vector Search</w:t>
              <w:br/>
            </w:r>
            <w:r>
              <w:rPr>
                <w:rFonts w:ascii="Segoe UI" w:hAnsi="Segoe UI"/>
                <w:color w:val="334155"/>
                <w:sz w:val="19"/>
              </w:rPr>
              <w:t>Don't invoke the gateway for questions you answered three minutes ago. Place a lightweight Semantic Cache in front of the gateway using Databricks Vector Search backed by Amazon S3. If query cosine similarity exceeds 0.95, return the cached answer. This cuts latency to &lt;20ms and generates zero token spend.</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Avoid the GPU Default: CPU-First for Non-Generative Tasks</w:t>
              <w:br/>
            </w:r>
            <w:r>
              <w:rPr>
                <w:rFonts w:ascii="Segoe UI" w:hAnsi="Segoe UI"/>
                <w:color w:val="334155"/>
                <w:sz w:val="19"/>
              </w:rPr>
              <w:t>Small transformers, embedding models (bge-small), and classification pipelines rarely need AWS GPU nodes. Deploying on CPU instances (Small or Medium) avoids G5 (A10G) instances (~20 DBUs/hr) and high-end P4de (A100/H100) clusters (~600+ DBUs/hr), reducing compute spend by up to 90%.</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Automate Inference Table Maintenance on Amazon S3</w:t>
              <w:br/>
            </w:r>
            <w:r>
              <w:rPr>
                <w:rFonts w:ascii="Segoe UI" w:hAnsi="Segoe UI"/>
                <w:color w:val="334155"/>
                <w:sz w:val="19"/>
              </w:rPr>
              <w:t>Inference tables capture all JSON payloads into a Delta table on S3. In high-traffic environments, this table balloons into millions of uncompacted JSON files. Schedule a weekly Databricks Job to delete entries older than 30 days and run 'VACUUM catalog.schema.inference_table RETAIN 168 HOURS' to avoid paying perpetual S3 storage fees.</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Run Batch Asynchronous Inference via Jobs Compute (ai_query)</w:t>
              <w:br/>
            </w:r>
            <w:r>
              <w:rPr>
                <w:rFonts w:ascii="Segoe UI" w:hAnsi="Segoe UI"/>
                <w:color w:val="334155"/>
                <w:sz w:val="19"/>
              </w:rPr>
              <w:t>Real-time endpoints carry an expensive SLA premium for immediate HTTP latency. If you need to score 500,000 customer reviews or historical records, never loop over a REST endpoint. Use ai_query() inside a Databricks Job running on automated spot instances. Jobs Compute runs at ~$0.15/DBU vs. ~$0.55+/DBU for Model Serving.</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Enforce Strict max_tokens at the Gateway &amp; Client Layer</w:t>
              <w:br/>
            </w:r>
            <w:r>
              <w:rPr>
                <w:rFonts w:ascii="Segoe UI" w:hAnsi="Segoe UI"/>
                <w:color w:val="334155"/>
                <w:sz w:val="19"/>
              </w:rPr>
              <w:t>Frontier models default to 4,096 or 8,192 tokens per completion if max_tokens is unspecified. When an agent experiences a reasoning hallucination or infinite loop, it will consume the entire token window. Force hard client-side boundaries: 50 tokens for classifications and 250 tokens for summaries.</w:t>
            </w:r>
          </w:p>
        </w:tc>
      </w:tr>
    </w:tbl>
    <w:p>
      <w:pPr>
        <w:spacing w:before="0" w:after="60"/>
      </w:pPr>
    </w:p>
    <w:tbl>
      <w:tblPr>
        <w:tblW w:type="auto" w:w="0"/>
        <w:jc w:val="center"/>
        <w:tblLayout w:type="fixed"/>
        <w:tblLook w:firstColumn="1" w:firstRow="1" w:lastColumn="0" w:lastRow="0" w:noHBand="0" w:noVBand="1" w:val="04A0"/>
      </w:tblPr>
      <w:tblGrid>
        <w:gridCol w:w="9792"/>
      </w:tblGrid>
      <w:tr>
        <w:tc>
          <w:tcPr>
            <w:tcW w:type="dxa" w:w="9792"/>
            <w:shd w:fill="F8FAFC"/>
            <w:tcMar>
              <w:top w:w="130" w:type="dxa"/>
              <w:bottom w:w="130" w:type="dxa"/>
              <w:left w:w="170" w:type="dxa"/>
              <w:right w:w="150" w:type="dxa"/>
            </w:tcMar>
            <w:tcBorders>
              <w:top w:val="none"/>
              <w:left w:val="single" w:sz="24" w:space="0" w:color="EA580C"/>
              <w:bottom w:val="none"/>
              <w:right w:val="none"/>
            </w:tcBorders>
          </w:tcPr>
          <w:p>
            <w:pPr>
              <w:spacing w:before="0" w:after="60" w:line="276" w:lineRule="auto"/>
            </w:pPr>
            <w:r>
              <w:rPr>
                <w:rFonts w:ascii="Segoe UI" w:hAnsi="Segoe UI"/>
                <w:b/>
                <w:color w:val="0F172A"/>
                <w:sz w:val="21"/>
              </w:rPr>
              <w:t>⚡  Build an Automated 'Orphan Endpoint Reaper' with AWS EventBridge</w:t>
              <w:br/>
            </w:r>
            <w:r>
              <w:rPr>
                <w:rFonts w:ascii="Segoe UI" w:hAnsi="Segoe UI"/>
                <w:color w:val="334155"/>
                <w:sz w:val="19"/>
              </w:rPr>
              <w:t>Developers often spin up dedicated GPU endpoints for afternoon tests and forget to delete them. Schedule a lightweight Databricks Job or AWS Lambda via EventBridge that inspects system.billing.usage. If an endpoint with scale-to-zero disabled has had zero requests over the past 7 days, automatically delete it via the Databricks Python SDK.</w:t>
            </w:r>
          </w:p>
        </w:tc>
      </w:tr>
    </w:tbl>
    <w:p>
      <w:pPr>
        <w:spacing w:before="0" w:after="60"/>
      </w:pP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