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992E" w14:textId="6A03EBAB" w:rsidR="00650115" w:rsidRPr="00362671" w:rsidRDefault="00000000">
      <w:pPr>
        <w:pStyle w:val="Heading1"/>
        <w:rPr>
          <w:rFonts w:cstheme="majorHAnsi"/>
          <w:color w:val="000000" w:themeColor="text1"/>
        </w:rPr>
      </w:pPr>
      <w:r w:rsidRPr="00362671">
        <w:rPr>
          <w:rFonts w:cstheme="majorHAnsi"/>
          <w:color w:val="000000" w:themeColor="text1"/>
        </w:rPr>
        <w:t>Case Report: Serious Expected Adverse Drug Reaction Following Rocuronium</w:t>
      </w:r>
      <w:r w:rsidR="00362671" w:rsidRPr="00362671">
        <w:rPr>
          <w:rFonts w:cstheme="majorHAnsi"/>
          <w:color w:val="000000" w:themeColor="text1"/>
        </w:rPr>
        <w:t xml:space="preserve"> Bromide </w:t>
      </w:r>
      <w:r w:rsidR="00362671" w:rsidRPr="00362671">
        <w:rPr>
          <w:rFonts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362671" w:rsidRPr="00362671">
        <w:rPr>
          <w:rFonts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ZEMURON®</w:t>
      </w:r>
      <w:r w:rsidR="00362671" w:rsidRPr="00362671">
        <w:rPr>
          <w:rFonts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362671">
        <w:rPr>
          <w:rFonts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62671">
        <w:rPr>
          <w:rFonts w:cstheme="majorHAnsi"/>
          <w:color w:val="000000" w:themeColor="text1"/>
        </w:rPr>
        <w:t>Administration</w:t>
      </w:r>
    </w:p>
    <w:p w14:paraId="51F64876" w14:textId="77777777" w:rsidR="00650115" w:rsidRPr="00362671" w:rsidRDefault="00000000">
      <w:pPr>
        <w:rPr>
          <w:rFonts w:asciiTheme="majorHAnsi" w:hAnsiTheme="majorHAnsi" w:cstheme="majorHAnsi"/>
          <w:b/>
          <w:bCs/>
        </w:rPr>
      </w:pPr>
      <w:r w:rsidRPr="00362671">
        <w:rPr>
          <w:rFonts w:asciiTheme="majorHAnsi" w:hAnsiTheme="majorHAnsi" w:cstheme="majorHAnsi"/>
          <w:b/>
          <w:bCs/>
        </w:rPr>
        <w:t>Patient Information</w:t>
      </w:r>
    </w:p>
    <w:p w14:paraId="7046AD08" w14:textId="77777777" w:rsidR="00650115" w:rsidRDefault="00000000">
      <w:r>
        <w:t>A 54-year-old woman with symptomatic gallstones was admitted for elective laparoscopic cholecystectomy. She had hypertension and hypothyroidism with no previous history of drug allergy or perioperative anaphylaxis.</w:t>
      </w:r>
    </w:p>
    <w:p w14:paraId="626907C3" w14:textId="77777777" w:rsidR="00650115" w:rsidRDefault="00000000">
      <w:r>
        <w:rPr>
          <w:b/>
        </w:rPr>
        <w:t>Medication History</w:t>
      </w:r>
    </w:p>
    <w:p w14:paraId="725BA76B" w14:textId="77777777" w:rsidR="00650115" w:rsidRDefault="00000000">
      <w:pPr>
        <w:pStyle w:val="ListBullet"/>
      </w:pPr>
      <w:r>
        <w:t>Telmisartan 40 mg orally once daily</w:t>
      </w:r>
    </w:p>
    <w:p w14:paraId="41329D12" w14:textId="77777777" w:rsidR="00650115" w:rsidRDefault="00000000">
      <w:pPr>
        <w:pStyle w:val="ListBullet"/>
      </w:pPr>
      <w:r>
        <w:t>Levothyroxine 75 mcg orally once daily</w:t>
      </w:r>
    </w:p>
    <w:p w14:paraId="4DC09647" w14:textId="77777777" w:rsidR="00650115" w:rsidRDefault="00000000">
      <w:pPr>
        <w:pStyle w:val="ListBullet"/>
      </w:pPr>
      <w:r>
        <w:t>Pantoprazole 40 mg orally once daily</w:t>
      </w:r>
    </w:p>
    <w:p w14:paraId="7051FA5B" w14:textId="1C9CCC0D" w:rsidR="00650115" w:rsidRDefault="00000000">
      <w:pPr>
        <w:pStyle w:val="ListBullet"/>
      </w:pPr>
      <w:r>
        <w:t>Rocuronium</w:t>
      </w:r>
      <w:r w:rsidR="00362671">
        <w:t xml:space="preserve"> bromide (</w:t>
      </w:r>
      <w:r w:rsidR="00362671" w:rsidRPr="00362671">
        <w:t>ZEMURON®</w:t>
      </w:r>
      <w:r w:rsidR="00362671">
        <w:t>)</w:t>
      </w:r>
      <w:r>
        <w:t xml:space="preserve"> 50 mg IV administered during induction (first documented exposure)</w:t>
      </w:r>
    </w:p>
    <w:p w14:paraId="13FE69BA" w14:textId="77777777" w:rsidR="00650115" w:rsidRDefault="00000000">
      <w:r>
        <w:rPr>
          <w:b/>
        </w:rPr>
        <w:t>Clinical Course</w:t>
      </w:r>
    </w:p>
    <w:p w14:paraId="222AB101" w14:textId="77777777" w:rsidR="00650115" w:rsidRDefault="00000000">
      <w:r>
        <w:t>Baseline vital signs: BP 132/78 mmHg, HR 82 bpm, RR 16/min, SpO₂ 99%. Approximately 2 minutes after IV rocuronium, the patient developed generalized erythema, bronchospasm, hypotension (72/40 mmHg), tachycardia (118 bpm), oxygen saturation 84%, and loss of consciousness. Perioperative anaphylaxis was suspected.</w:t>
      </w:r>
    </w:p>
    <w:p w14:paraId="5AD54230" w14:textId="77777777" w:rsidR="00650115" w:rsidRDefault="00000000">
      <w:r>
        <w:rPr>
          <w:b/>
        </w:rPr>
        <w:t>Management</w:t>
      </w:r>
    </w:p>
    <w:p w14:paraId="42590893" w14:textId="77777777" w:rsidR="00650115" w:rsidRDefault="00000000">
      <w:pPr>
        <w:pStyle w:val="ListBullet"/>
      </w:pPr>
      <w:r>
        <w:t>Immediate discontinuation of suspected drug</w:t>
      </w:r>
    </w:p>
    <w:p w14:paraId="6CAAC0C6" w14:textId="77777777" w:rsidR="00650115" w:rsidRDefault="00000000">
      <w:pPr>
        <w:pStyle w:val="ListBullet"/>
      </w:pPr>
      <w:r>
        <w:t>Epinephrine administration</w:t>
      </w:r>
    </w:p>
    <w:p w14:paraId="6DB24FCF" w14:textId="77777777" w:rsidR="00650115" w:rsidRDefault="00000000">
      <w:pPr>
        <w:pStyle w:val="ListBullet"/>
      </w:pPr>
      <w:r>
        <w:t>High-flow oxygen and ventilatory support</w:t>
      </w:r>
    </w:p>
    <w:p w14:paraId="6CAC96FB" w14:textId="77777777" w:rsidR="00650115" w:rsidRDefault="00000000">
      <w:pPr>
        <w:pStyle w:val="ListBullet"/>
      </w:pPr>
      <w:r>
        <w:t>Intravenous hydrocortisone</w:t>
      </w:r>
    </w:p>
    <w:p w14:paraId="342912D8" w14:textId="77777777" w:rsidR="00650115" w:rsidRDefault="00000000">
      <w:pPr>
        <w:pStyle w:val="ListBullet"/>
      </w:pPr>
      <w:r>
        <w:t>Intravenous antihistamine</w:t>
      </w:r>
    </w:p>
    <w:p w14:paraId="26C4C575" w14:textId="77777777" w:rsidR="00650115" w:rsidRDefault="00000000">
      <w:pPr>
        <w:pStyle w:val="ListBullet"/>
      </w:pPr>
      <w:r>
        <w:t>Rapid IV fluids</w:t>
      </w:r>
    </w:p>
    <w:p w14:paraId="65D7DCF0" w14:textId="77777777" w:rsidR="00650115" w:rsidRDefault="00000000">
      <w:pPr>
        <w:pStyle w:val="ListBullet"/>
      </w:pPr>
      <w:r>
        <w:t>ICU admission</w:t>
      </w:r>
    </w:p>
    <w:p w14:paraId="2543CF50" w14:textId="77777777" w:rsidR="00650115" w:rsidRDefault="00000000">
      <w:r>
        <w:rPr>
          <w:b/>
        </w:rPr>
        <w:t>Outcome</w:t>
      </w:r>
    </w:p>
    <w:p w14:paraId="3574E7A9" w14:textId="77777777" w:rsidR="00650115" w:rsidRDefault="00000000">
      <w:r>
        <w:t>The patient recovered completely within 72 hours. Serum tryptase was elevated, supporting anaphylaxis. Rocuronium was permanently avoided.</w:t>
      </w:r>
    </w:p>
    <w:p w14:paraId="479A53AF" w14:textId="77777777" w:rsidR="00EE0554" w:rsidRDefault="00EE0554">
      <w:pPr>
        <w:rPr>
          <w:b/>
        </w:rPr>
      </w:pPr>
    </w:p>
    <w:p w14:paraId="58175740" w14:textId="77777777" w:rsidR="00EE0554" w:rsidRDefault="00EE0554">
      <w:pPr>
        <w:rPr>
          <w:b/>
        </w:rPr>
      </w:pPr>
    </w:p>
    <w:p w14:paraId="67C2DF47" w14:textId="77777777" w:rsidR="00EE0554" w:rsidRDefault="00EE0554">
      <w:pPr>
        <w:rPr>
          <w:b/>
        </w:rPr>
      </w:pPr>
    </w:p>
    <w:p w14:paraId="60E80FB1" w14:textId="0F165B8D" w:rsidR="00650115" w:rsidRDefault="00000000">
      <w:r>
        <w:rPr>
          <w:b/>
        </w:rPr>
        <w:t>Pharmacovigilance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50115" w14:paraId="5F1CDDA8" w14:textId="77777777">
        <w:tc>
          <w:tcPr>
            <w:tcW w:w="4320" w:type="dxa"/>
          </w:tcPr>
          <w:p w14:paraId="41AED636" w14:textId="77777777" w:rsidR="00650115" w:rsidRDefault="00000000">
            <w:r>
              <w:t>Parameter</w:t>
            </w:r>
          </w:p>
        </w:tc>
        <w:tc>
          <w:tcPr>
            <w:tcW w:w="4320" w:type="dxa"/>
          </w:tcPr>
          <w:p w14:paraId="6B5CB872" w14:textId="77777777" w:rsidR="00650115" w:rsidRDefault="00000000">
            <w:r>
              <w:t>Details</w:t>
            </w:r>
          </w:p>
        </w:tc>
      </w:tr>
      <w:tr w:rsidR="00650115" w14:paraId="2AA9686E" w14:textId="77777777">
        <w:tc>
          <w:tcPr>
            <w:tcW w:w="4320" w:type="dxa"/>
          </w:tcPr>
          <w:p w14:paraId="717053C4" w14:textId="77777777" w:rsidR="00650115" w:rsidRDefault="00000000">
            <w:r>
              <w:t>Suspected Drug</w:t>
            </w:r>
          </w:p>
        </w:tc>
        <w:tc>
          <w:tcPr>
            <w:tcW w:w="4320" w:type="dxa"/>
          </w:tcPr>
          <w:p w14:paraId="7D4A68F5" w14:textId="70A718B7" w:rsidR="00650115" w:rsidRDefault="00000000">
            <w:r>
              <w:t>Rocuronium</w:t>
            </w:r>
            <w:r w:rsidR="00362671">
              <w:t xml:space="preserve"> bromide (</w:t>
            </w:r>
            <w:r w:rsidR="00362671" w:rsidRPr="00362671">
              <w:t>ZEMURON®</w:t>
            </w:r>
            <w:r w:rsidR="00362671">
              <w:t>)</w:t>
            </w:r>
          </w:p>
        </w:tc>
      </w:tr>
      <w:tr w:rsidR="00650115" w14:paraId="6F344BE2" w14:textId="77777777">
        <w:tc>
          <w:tcPr>
            <w:tcW w:w="4320" w:type="dxa"/>
          </w:tcPr>
          <w:p w14:paraId="40180D51" w14:textId="77777777" w:rsidR="00650115" w:rsidRDefault="00000000">
            <w:r>
              <w:t>ADR</w:t>
            </w:r>
          </w:p>
        </w:tc>
        <w:tc>
          <w:tcPr>
            <w:tcW w:w="4320" w:type="dxa"/>
          </w:tcPr>
          <w:p w14:paraId="75C3AF98" w14:textId="77777777" w:rsidR="00650115" w:rsidRDefault="00000000">
            <w:r>
              <w:t>Anaphylaxis</w:t>
            </w:r>
          </w:p>
        </w:tc>
      </w:tr>
      <w:tr w:rsidR="00650115" w14:paraId="6E4FE222" w14:textId="77777777">
        <w:tc>
          <w:tcPr>
            <w:tcW w:w="4320" w:type="dxa"/>
          </w:tcPr>
          <w:p w14:paraId="44500C12" w14:textId="77777777" w:rsidR="00650115" w:rsidRDefault="00000000">
            <w:r>
              <w:t>Seriousness</w:t>
            </w:r>
          </w:p>
        </w:tc>
        <w:tc>
          <w:tcPr>
            <w:tcW w:w="4320" w:type="dxa"/>
          </w:tcPr>
          <w:p w14:paraId="4DEBE8D4" w14:textId="77777777" w:rsidR="00650115" w:rsidRDefault="00000000">
            <w:r>
              <w:t>Serious</w:t>
            </w:r>
          </w:p>
        </w:tc>
      </w:tr>
      <w:tr w:rsidR="00650115" w14:paraId="24D3F8FA" w14:textId="77777777">
        <w:tc>
          <w:tcPr>
            <w:tcW w:w="4320" w:type="dxa"/>
          </w:tcPr>
          <w:p w14:paraId="09A31962" w14:textId="77777777" w:rsidR="00650115" w:rsidRDefault="00000000">
            <w:r>
              <w:t>Expectedness</w:t>
            </w:r>
          </w:p>
        </w:tc>
        <w:tc>
          <w:tcPr>
            <w:tcW w:w="4320" w:type="dxa"/>
          </w:tcPr>
          <w:p w14:paraId="51116EC9" w14:textId="77777777" w:rsidR="00650115" w:rsidRDefault="00000000">
            <w:r>
              <w:t>Expected</w:t>
            </w:r>
          </w:p>
        </w:tc>
      </w:tr>
      <w:tr w:rsidR="00650115" w14:paraId="0D7F1146" w14:textId="77777777">
        <w:tc>
          <w:tcPr>
            <w:tcW w:w="4320" w:type="dxa"/>
          </w:tcPr>
          <w:p w14:paraId="73034E22" w14:textId="77777777" w:rsidR="00650115" w:rsidRDefault="00000000">
            <w:r>
              <w:t>WHO-UMC</w:t>
            </w:r>
          </w:p>
        </w:tc>
        <w:tc>
          <w:tcPr>
            <w:tcW w:w="4320" w:type="dxa"/>
          </w:tcPr>
          <w:p w14:paraId="60D95AD9" w14:textId="77777777" w:rsidR="00650115" w:rsidRDefault="00000000">
            <w:r>
              <w:t>Probable/Likely</w:t>
            </w:r>
          </w:p>
        </w:tc>
      </w:tr>
      <w:tr w:rsidR="00650115" w14:paraId="46D57095" w14:textId="77777777">
        <w:tc>
          <w:tcPr>
            <w:tcW w:w="4320" w:type="dxa"/>
          </w:tcPr>
          <w:p w14:paraId="5EC6671F" w14:textId="77777777" w:rsidR="00650115" w:rsidRDefault="00000000">
            <w:r>
              <w:t>Naranjo Score</w:t>
            </w:r>
          </w:p>
        </w:tc>
        <w:tc>
          <w:tcPr>
            <w:tcW w:w="4320" w:type="dxa"/>
          </w:tcPr>
          <w:p w14:paraId="7C6EEF0B" w14:textId="77777777" w:rsidR="00650115" w:rsidRDefault="00000000">
            <w:r>
              <w:t>6 (Probable)</w:t>
            </w:r>
          </w:p>
        </w:tc>
      </w:tr>
    </w:tbl>
    <w:p w14:paraId="4F5871E6" w14:textId="77777777" w:rsidR="00EE0554" w:rsidRDefault="00EE0554">
      <w:pPr>
        <w:rPr>
          <w:b/>
          <w:bCs/>
        </w:rPr>
      </w:pPr>
    </w:p>
    <w:p w14:paraId="7056CB7D" w14:textId="116E4BA3" w:rsidR="00650115" w:rsidRPr="00EE0554" w:rsidRDefault="00EE0554">
      <w:pPr>
        <w:rPr>
          <w:b/>
          <w:bCs/>
        </w:rPr>
      </w:pPr>
      <w:r w:rsidRPr="00EE0554">
        <w:rPr>
          <w:b/>
          <w:bCs/>
        </w:rPr>
        <w:t xml:space="preserve">ADR Summary Table 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0"/>
      </w:tblGrid>
      <w:tr w:rsidR="00EE0554" w14:paraId="60FDE3DB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14:paraId="03EEDFA7" w14:textId="77777777" w:rsidR="00EE0554" w:rsidRDefault="00EE0554" w:rsidP="005104B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000" w:type="dxa"/>
            <w:shd w:val="clear" w:color="auto" w:fill="D9E2F3"/>
          </w:tcPr>
          <w:p w14:paraId="7E06ABE8" w14:textId="77777777" w:rsidR="00EE0554" w:rsidRDefault="00EE0554" w:rsidP="005104B0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EE0554" w14:paraId="748D1E08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71B3D13" w14:textId="77777777" w:rsidR="00EE0554" w:rsidRDefault="00EE0554" w:rsidP="005104B0"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6000" w:type="dxa"/>
          </w:tcPr>
          <w:p w14:paraId="3B02C6B0" w14:textId="15D820E5" w:rsidR="00EE0554" w:rsidRDefault="00EE0554" w:rsidP="005104B0">
            <w:r w:rsidRPr="00EE0554">
              <w:t>54-year-old female</w:t>
            </w:r>
          </w:p>
        </w:tc>
      </w:tr>
      <w:tr w:rsidR="00EE0554" w14:paraId="5446C020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4C61FC6" w14:textId="77777777" w:rsidR="00EE0554" w:rsidRDefault="00EE0554" w:rsidP="005104B0">
            <w:r>
              <w:rPr>
                <w:sz w:val="20"/>
                <w:szCs w:val="20"/>
              </w:rPr>
              <w:t>Underlying Condition</w:t>
            </w:r>
          </w:p>
        </w:tc>
        <w:tc>
          <w:tcPr>
            <w:tcW w:w="6000" w:type="dxa"/>
          </w:tcPr>
          <w:p w14:paraId="1FBDED56" w14:textId="5902EDD6" w:rsidR="00EE0554" w:rsidRPr="00EE0554" w:rsidRDefault="00EE0554" w:rsidP="005104B0">
            <w:pPr>
              <w:rPr>
                <w:szCs w:val="24"/>
              </w:rPr>
            </w:pPr>
            <w:r w:rsidRPr="00EE0554">
              <w:rPr>
                <w:szCs w:val="24"/>
              </w:rPr>
              <w:t>Symptomatic gallstones, Hypertension, Hypothyroidism</w:t>
            </w:r>
          </w:p>
        </w:tc>
      </w:tr>
      <w:tr w:rsidR="00EE0554" w14:paraId="7BC70699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9457B32" w14:textId="77777777" w:rsidR="00EE0554" w:rsidRDefault="00EE0554" w:rsidP="005104B0">
            <w:r>
              <w:rPr>
                <w:sz w:val="20"/>
                <w:szCs w:val="20"/>
              </w:rPr>
              <w:t>Suspected Drug</w:t>
            </w:r>
          </w:p>
        </w:tc>
        <w:tc>
          <w:tcPr>
            <w:tcW w:w="6000" w:type="dxa"/>
          </w:tcPr>
          <w:p w14:paraId="3993F266" w14:textId="3DBDF4CB" w:rsidR="00EE0554" w:rsidRPr="00EE0554" w:rsidRDefault="00EE0554" w:rsidP="005104B0">
            <w:pPr>
              <w:rPr>
                <w:szCs w:val="24"/>
              </w:rPr>
            </w:pPr>
            <w:r w:rsidRPr="00EE0554">
              <w:rPr>
                <w:szCs w:val="24"/>
              </w:rPr>
              <w:t>Rocuronium bromide</w:t>
            </w:r>
            <w:r w:rsidR="00362671">
              <w:rPr>
                <w:szCs w:val="24"/>
              </w:rPr>
              <w:t xml:space="preserve"> (</w:t>
            </w:r>
            <w:r w:rsidR="00362671" w:rsidRPr="00362671">
              <w:t>ZEMURON®</w:t>
            </w:r>
            <w:r w:rsidR="00362671">
              <w:t>)</w:t>
            </w:r>
          </w:p>
        </w:tc>
      </w:tr>
      <w:tr w:rsidR="00EE0554" w14:paraId="0ADDD2C9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D5509BB" w14:textId="77777777" w:rsidR="00EE0554" w:rsidRDefault="00EE0554" w:rsidP="005104B0">
            <w:r>
              <w:rPr>
                <w:sz w:val="20"/>
                <w:szCs w:val="20"/>
              </w:rPr>
              <w:t>Route/Setting</w:t>
            </w:r>
          </w:p>
        </w:tc>
        <w:tc>
          <w:tcPr>
            <w:tcW w:w="6000" w:type="dxa"/>
          </w:tcPr>
          <w:p w14:paraId="6262FF02" w14:textId="5776AB31" w:rsidR="00EE0554" w:rsidRPr="00EE0554" w:rsidRDefault="00EE0554" w:rsidP="005104B0">
            <w:pPr>
              <w:rPr>
                <w:szCs w:val="24"/>
              </w:rPr>
            </w:pPr>
            <w:r w:rsidRPr="00EE0554">
              <w:rPr>
                <w:szCs w:val="24"/>
              </w:rPr>
              <w:t>Intravenous (IV), administered during induction of general anesthesia for elective laparoscopic cholecystectomy</w:t>
            </w:r>
          </w:p>
        </w:tc>
      </w:tr>
      <w:tr w:rsidR="00EE0554" w14:paraId="5628FC5F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AEC2170" w14:textId="77777777" w:rsidR="00EE0554" w:rsidRDefault="00EE0554" w:rsidP="005104B0">
            <w:r>
              <w:rPr>
                <w:sz w:val="20"/>
                <w:szCs w:val="20"/>
              </w:rPr>
              <w:t>ADR</w:t>
            </w:r>
          </w:p>
        </w:tc>
        <w:tc>
          <w:tcPr>
            <w:tcW w:w="6000" w:type="dxa"/>
          </w:tcPr>
          <w:p w14:paraId="4FCBBD46" w14:textId="1EABE2E1" w:rsidR="00EE0554" w:rsidRPr="00EE0554" w:rsidRDefault="00EE0554" w:rsidP="005104B0">
            <w:pPr>
              <w:rPr>
                <w:szCs w:val="24"/>
              </w:rPr>
            </w:pPr>
            <w:r w:rsidRPr="00EE0554">
              <w:rPr>
                <w:szCs w:val="24"/>
              </w:rPr>
              <w:t>Anaphylaxis (severe, with bronchospasm, hypotension, hypoxia, and loss of consciousness)</w:t>
            </w:r>
          </w:p>
        </w:tc>
      </w:tr>
      <w:tr w:rsidR="00EE0554" w14:paraId="568EDA7A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D66AF76" w14:textId="77777777" w:rsidR="00EE0554" w:rsidRDefault="00EE0554" w:rsidP="005104B0">
            <w:r>
              <w:rPr>
                <w:sz w:val="20"/>
                <w:szCs w:val="20"/>
              </w:rPr>
              <w:t>Time to Onset</w:t>
            </w:r>
          </w:p>
        </w:tc>
        <w:tc>
          <w:tcPr>
            <w:tcW w:w="6000" w:type="dxa"/>
          </w:tcPr>
          <w:p w14:paraId="676631BC" w14:textId="794839FF" w:rsidR="00EE0554" w:rsidRPr="00EE0554" w:rsidRDefault="00EE0554" w:rsidP="005104B0">
            <w:pPr>
              <w:rPr>
                <w:szCs w:val="24"/>
              </w:rPr>
            </w:pPr>
            <w:r w:rsidRPr="00EE0554">
              <w:rPr>
                <w:szCs w:val="24"/>
              </w:rPr>
              <w:t>Approximately 2 minutes after intravenous administration</w:t>
            </w:r>
          </w:p>
        </w:tc>
      </w:tr>
      <w:tr w:rsidR="00EE0554" w14:paraId="08FA6729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1606AB7" w14:textId="77777777" w:rsidR="00EE0554" w:rsidRDefault="00EE0554" w:rsidP="005104B0"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6000" w:type="dxa"/>
          </w:tcPr>
          <w:p w14:paraId="2AEAB3A4" w14:textId="308FD98B" w:rsidR="00EE0554" w:rsidRPr="00EE0554" w:rsidRDefault="00EE0554" w:rsidP="005104B0">
            <w:pPr>
              <w:rPr>
                <w:szCs w:val="24"/>
              </w:rPr>
            </w:pPr>
            <w:r w:rsidRPr="00EE0554">
              <w:rPr>
                <w:szCs w:val="24"/>
              </w:rPr>
              <w:t>Immediate discontinuation of rocuronium, epinephrine administration, high-flow oxygen, endotracheal intubation with ventilatory support, intravenous hydrocortisone, intravenous antihistamine, rapid intravenous crystalloid infusion, intensive care unit (ICU) admission, and continuous cardiorespiratory monitoring</w:t>
            </w:r>
          </w:p>
        </w:tc>
      </w:tr>
      <w:tr w:rsidR="00EE0554" w14:paraId="5E72A5CC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09543570" w14:textId="77777777" w:rsidR="00EE0554" w:rsidRDefault="00EE0554" w:rsidP="005104B0">
            <w:r>
              <w:rPr>
                <w:sz w:val="20"/>
                <w:szCs w:val="20"/>
              </w:rPr>
              <w:t>Hospitalization</w:t>
            </w:r>
          </w:p>
        </w:tc>
        <w:tc>
          <w:tcPr>
            <w:tcW w:w="6000" w:type="dxa"/>
          </w:tcPr>
          <w:p w14:paraId="7E92BD3C" w14:textId="77777777" w:rsidR="00EE0554" w:rsidRPr="00EE0554" w:rsidRDefault="00EE0554" w:rsidP="005104B0">
            <w:pPr>
              <w:rPr>
                <w:szCs w:val="24"/>
              </w:rPr>
            </w:pPr>
            <w:r w:rsidRPr="00EE0554">
              <w:rPr>
                <w:szCs w:val="24"/>
              </w:rPr>
              <w:t>Yes – ICU admission for monitoring</w:t>
            </w:r>
          </w:p>
        </w:tc>
      </w:tr>
      <w:tr w:rsidR="00EE0554" w14:paraId="1F63E566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F4F7ED0" w14:textId="77777777" w:rsidR="00EE0554" w:rsidRDefault="00EE0554" w:rsidP="005104B0">
            <w:r>
              <w:rPr>
                <w:sz w:val="20"/>
                <w:szCs w:val="20"/>
              </w:rPr>
              <w:t>Outcome</w:t>
            </w:r>
          </w:p>
        </w:tc>
        <w:tc>
          <w:tcPr>
            <w:tcW w:w="6000" w:type="dxa"/>
          </w:tcPr>
          <w:p w14:paraId="57C0ED7E" w14:textId="5AF778F6" w:rsidR="00EE0554" w:rsidRPr="00EE0554" w:rsidRDefault="00EE0554" w:rsidP="005104B0">
            <w:pPr>
              <w:rPr>
                <w:szCs w:val="24"/>
              </w:rPr>
            </w:pPr>
            <w:r w:rsidRPr="00EE0554">
              <w:rPr>
                <w:szCs w:val="24"/>
              </w:rPr>
              <w:t>Complete recovery without residual complications; elevated serum tryptase supported the diagnosis of anaphylaxis; rocuronium permanently avoided in future anesthetic procedures</w:t>
            </w:r>
          </w:p>
        </w:tc>
      </w:tr>
      <w:tr w:rsidR="00EE0554" w14:paraId="6D683815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6643FBD" w14:textId="77777777" w:rsidR="00EE0554" w:rsidRDefault="00EE0554" w:rsidP="005104B0">
            <w:r>
              <w:rPr>
                <w:sz w:val="20"/>
                <w:szCs w:val="20"/>
              </w:rPr>
              <w:lastRenderedPageBreak/>
              <w:t>Seriousness</w:t>
            </w:r>
          </w:p>
        </w:tc>
        <w:tc>
          <w:tcPr>
            <w:tcW w:w="6000" w:type="dxa"/>
          </w:tcPr>
          <w:p w14:paraId="5EEE0CA6" w14:textId="77777777" w:rsidR="00EE0554" w:rsidRDefault="00EE0554" w:rsidP="005104B0">
            <w:r>
              <w:rPr>
                <w:sz w:val="20"/>
                <w:szCs w:val="20"/>
              </w:rPr>
              <w:t>Serious</w:t>
            </w:r>
          </w:p>
        </w:tc>
      </w:tr>
      <w:tr w:rsidR="00EE0554" w14:paraId="1D0E5E0D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23C8087" w14:textId="77777777" w:rsidR="00EE0554" w:rsidRDefault="00EE0554" w:rsidP="005104B0">
            <w:r>
              <w:rPr>
                <w:sz w:val="20"/>
                <w:szCs w:val="20"/>
              </w:rPr>
              <w:t>Expectedness</w:t>
            </w:r>
          </w:p>
        </w:tc>
        <w:tc>
          <w:tcPr>
            <w:tcW w:w="6000" w:type="dxa"/>
          </w:tcPr>
          <w:p w14:paraId="761BA178" w14:textId="77777777" w:rsidR="00EE0554" w:rsidRDefault="00EE0554" w:rsidP="005104B0">
            <w:r>
              <w:rPr>
                <w:sz w:val="20"/>
                <w:szCs w:val="20"/>
              </w:rPr>
              <w:t>Expected</w:t>
            </w:r>
          </w:p>
        </w:tc>
      </w:tr>
      <w:tr w:rsidR="00EE0554" w14:paraId="1919F2FB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B3ACA1A" w14:textId="77777777" w:rsidR="00EE0554" w:rsidRDefault="00EE0554" w:rsidP="005104B0">
            <w:r>
              <w:rPr>
                <w:sz w:val="20"/>
                <w:szCs w:val="20"/>
              </w:rPr>
              <w:t>Clinical Impact</w:t>
            </w:r>
          </w:p>
        </w:tc>
        <w:tc>
          <w:tcPr>
            <w:tcW w:w="6000" w:type="dxa"/>
          </w:tcPr>
          <w:p w14:paraId="296815D2" w14:textId="77777777" w:rsidR="00EE0554" w:rsidRDefault="00EE0554" w:rsidP="005104B0">
            <w:r>
              <w:rPr>
                <w:sz w:val="20"/>
                <w:szCs w:val="20"/>
              </w:rPr>
              <w:t>High</w:t>
            </w:r>
          </w:p>
        </w:tc>
      </w:tr>
      <w:tr w:rsidR="00EE0554" w14:paraId="033B22D8" w14:textId="77777777" w:rsidTr="005104B0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138B4AEC" w14:textId="77777777" w:rsidR="00EE0554" w:rsidRDefault="00EE0554" w:rsidP="005104B0">
            <w:r>
              <w:rPr>
                <w:sz w:val="20"/>
                <w:szCs w:val="20"/>
              </w:rPr>
              <w:t>Pharmacovigilance Action</w:t>
            </w:r>
          </w:p>
        </w:tc>
        <w:tc>
          <w:tcPr>
            <w:tcW w:w="6000" w:type="dxa"/>
          </w:tcPr>
          <w:p w14:paraId="61C5FB00" w14:textId="77777777" w:rsidR="00EE0554" w:rsidRDefault="00EE0554" w:rsidP="005104B0">
            <w:r>
              <w:rPr>
                <w:sz w:val="20"/>
                <w:szCs w:val="20"/>
              </w:rPr>
              <w:t>Reported as a serious ADR; drug permanently discontinued and avoided on subsequent procedures</w:t>
            </w:r>
          </w:p>
        </w:tc>
      </w:tr>
    </w:tbl>
    <w:p w14:paraId="186F6127" w14:textId="77777777" w:rsidR="00EE0554" w:rsidRDefault="00EE0554"/>
    <w:p w14:paraId="3C3CD864" w14:textId="36B21B00" w:rsidR="00EE0554" w:rsidRPr="00EE0554" w:rsidRDefault="00EE0554">
      <w:pPr>
        <w:rPr>
          <w:b/>
          <w:bCs/>
        </w:rPr>
      </w:pPr>
      <w:r w:rsidRPr="00EE0554">
        <w:rPr>
          <w:b/>
          <w:bCs/>
        </w:rPr>
        <w:t>Reference</w:t>
      </w:r>
      <w:r>
        <w:rPr>
          <w:b/>
          <w:bCs/>
        </w:rPr>
        <w:t>s</w:t>
      </w:r>
    </w:p>
    <w:p w14:paraId="2AFACDE0" w14:textId="6EA35B59" w:rsidR="00EE0554" w:rsidRPr="00EE0554" w:rsidRDefault="00EE0554" w:rsidP="00EE0554">
      <w:pPr>
        <w:jc w:val="both"/>
      </w:pPr>
      <w:r w:rsidRPr="00EE0554">
        <w:t xml:space="preserve">Khan A, Parr K. A Case of Rocuronium-Induced Anaphylaxis Managed </w:t>
      </w:r>
      <w:r w:rsidR="00362671" w:rsidRPr="00EE0554">
        <w:t>with</w:t>
      </w:r>
      <w:r w:rsidR="00362671">
        <w:t xml:space="preserve"> </w:t>
      </w:r>
      <w:r w:rsidRPr="00EE0554">
        <w:t xml:space="preserve">Sugammadex. </w:t>
      </w:r>
      <w:r w:rsidRPr="00EE0554">
        <w:rPr>
          <w:i/>
          <w:iCs/>
        </w:rPr>
        <w:t>Cureus.</w:t>
      </w:r>
      <w:r w:rsidRPr="00EE0554">
        <w:t xml:space="preserve"> 2025;17(4</w:t>
      </w:r>
      <w:r w:rsidR="00362671" w:rsidRPr="00EE0554">
        <w:t>)</w:t>
      </w:r>
      <w:r w:rsidR="00362671">
        <w:t>: e</w:t>
      </w:r>
      <w:r w:rsidRPr="00EE0554">
        <w:t xml:space="preserve">81701. doi:10.7759/cureus.81701 </w:t>
      </w:r>
    </w:p>
    <w:p w14:paraId="65D24E87" w14:textId="58963067" w:rsidR="00EE0554" w:rsidRDefault="00EE0554" w:rsidP="00EE0554">
      <w:pPr>
        <w:jc w:val="both"/>
      </w:pPr>
      <w:r w:rsidRPr="00EE0554">
        <w:t xml:space="preserve">U.S. Food and Drug Administration (FDA). </w:t>
      </w:r>
      <w:r w:rsidRPr="00362671">
        <w:t>ZEMURON® (rocuronium bromide) Injection</w:t>
      </w:r>
      <w:r w:rsidR="00362671">
        <w:t>. Prescribing information Available at:</w:t>
      </w:r>
    </w:p>
    <w:p w14:paraId="35D96177" w14:textId="277F4A3B" w:rsidR="00362671" w:rsidRDefault="00362671" w:rsidP="00EE0554">
      <w:pPr>
        <w:jc w:val="both"/>
      </w:pPr>
      <w:hyperlink r:id="rId6" w:history="1">
        <w:r w:rsidRPr="00A13F2F">
          <w:rPr>
            <w:rStyle w:val="Hyperlink"/>
          </w:rPr>
          <w:t>https://www.accessdata.fda.gov/drugsatfda_docs/label/2018/020214Orig1s038lbl.pdf</w:t>
        </w:r>
      </w:hyperlink>
    </w:p>
    <w:p w14:paraId="698008C3" w14:textId="53DCDD90" w:rsidR="00362671" w:rsidRPr="00362671" w:rsidRDefault="00362671" w:rsidP="00362671">
      <w:pPr>
        <w:jc w:val="right"/>
        <w:rPr>
          <w:b/>
          <w:bCs/>
        </w:rPr>
      </w:pPr>
      <w:r w:rsidRPr="00362671">
        <w:rPr>
          <w:b/>
          <w:bCs/>
        </w:rPr>
        <w:t xml:space="preserve">Sai Kumar </w:t>
      </w:r>
      <w:proofErr w:type="spellStart"/>
      <w:r w:rsidRPr="00362671">
        <w:rPr>
          <w:b/>
          <w:bCs/>
        </w:rPr>
        <w:t>Beldona</w:t>
      </w:r>
      <w:proofErr w:type="spellEnd"/>
    </w:p>
    <w:p w14:paraId="6180368A" w14:textId="3788FBA2" w:rsidR="00362671" w:rsidRPr="00362671" w:rsidRDefault="00362671" w:rsidP="00362671">
      <w:pPr>
        <w:jc w:val="right"/>
      </w:pPr>
      <w:r>
        <w:t>6303461972</w:t>
      </w:r>
    </w:p>
    <w:sectPr w:rsidR="00362671" w:rsidRPr="003626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402355">
    <w:abstractNumId w:val="8"/>
  </w:num>
  <w:num w:numId="2" w16cid:durableId="88040737">
    <w:abstractNumId w:val="6"/>
  </w:num>
  <w:num w:numId="3" w16cid:durableId="482502929">
    <w:abstractNumId w:val="5"/>
  </w:num>
  <w:num w:numId="4" w16cid:durableId="1205755097">
    <w:abstractNumId w:val="4"/>
  </w:num>
  <w:num w:numId="5" w16cid:durableId="402917481">
    <w:abstractNumId w:val="7"/>
  </w:num>
  <w:num w:numId="6" w16cid:durableId="1298948813">
    <w:abstractNumId w:val="3"/>
  </w:num>
  <w:num w:numId="7" w16cid:durableId="590162137">
    <w:abstractNumId w:val="2"/>
  </w:num>
  <w:num w:numId="8" w16cid:durableId="118227886">
    <w:abstractNumId w:val="1"/>
  </w:num>
  <w:num w:numId="9" w16cid:durableId="162091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B1A"/>
    <w:rsid w:val="00326F90"/>
    <w:rsid w:val="00362671"/>
    <w:rsid w:val="00650115"/>
    <w:rsid w:val="00AA1D8D"/>
    <w:rsid w:val="00B47730"/>
    <w:rsid w:val="00CB0664"/>
    <w:rsid w:val="00EE05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8665B"/>
  <w14:defaultImageDpi w14:val="300"/>
  <w15:docId w15:val="{F6CA5CD1-5BD6-4516-BEFD-8C98A5E9E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05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55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62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2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2671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671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ccessdata.fda.gov/drugsatfda_docs/label/2018/020214Orig1s038lbl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BELDONA SAI KUMAR</cp:lastModifiedBy>
  <cp:revision>2</cp:revision>
  <dcterms:created xsi:type="dcterms:W3CDTF">2026-07-20T15:58:00Z</dcterms:created>
  <dcterms:modified xsi:type="dcterms:W3CDTF">2026-07-20T15:58:00Z</dcterms:modified>
  <cp:category/>
</cp:coreProperties>
</file>