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CC28C" w14:textId="77777777" w:rsidR="00676309" w:rsidRPr="007D0C9E" w:rsidRDefault="00676309" w:rsidP="00676309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D0C9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CASE: </w:t>
      </w:r>
    </w:p>
    <w:p w14:paraId="28538249" w14:textId="26B9ED82" w:rsidR="007D0C9E" w:rsidRPr="007D0C9E" w:rsidRDefault="007D0C9E" w:rsidP="007D0C9E">
      <w:pPr>
        <w:rPr>
          <w:rFonts w:ascii="Times New Roman" w:hAnsi="Times New Roman" w:cs="Times New Roman"/>
          <w:sz w:val="24"/>
          <w:szCs w:val="24"/>
        </w:rPr>
      </w:pPr>
      <w:r w:rsidRPr="007D0C9E">
        <w:rPr>
          <w:rFonts w:ascii="Times New Roman" w:hAnsi="Times New Roman" w:cs="Times New Roman"/>
          <w:sz w:val="24"/>
          <w:szCs w:val="24"/>
        </w:rPr>
        <w:t>A case is taken from published literature – American Journal of Case Reports</w:t>
      </w:r>
    </w:p>
    <w:p w14:paraId="7DBC0668" w14:textId="3F106A7F" w:rsidR="008825CE" w:rsidRPr="007D0C9E" w:rsidRDefault="00676309" w:rsidP="00676309">
      <w:pPr>
        <w:rPr>
          <w:rFonts w:ascii="Times New Roman" w:hAnsi="Times New Roman" w:cs="Times New Roman"/>
          <w:sz w:val="24"/>
          <w:szCs w:val="24"/>
        </w:rPr>
      </w:pPr>
      <w:r w:rsidRPr="007D0C9E">
        <w:rPr>
          <w:rFonts w:ascii="Times New Roman" w:hAnsi="Times New Roman" w:cs="Times New Roman"/>
          <w:sz w:val="24"/>
          <w:szCs w:val="24"/>
        </w:rPr>
        <w:t>Age: 58 years, Sex: Female, Weight: 74 kg, BMI: 29.1 kg/m²</w:t>
      </w:r>
    </w:p>
    <w:p w14:paraId="11906B55" w14:textId="3B469835" w:rsidR="00676309" w:rsidRPr="007D0C9E" w:rsidRDefault="00676309" w:rsidP="00676309">
      <w:pPr>
        <w:rPr>
          <w:rFonts w:ascii="Times New Roman" w:hAnsi="Times New Roman" w:cs="Times New Roman"/>
          <w:sz w:val="24"/>
          <w:szCs w:val="24"/>
        </w:rPr>
      </w:pPr>
      <w:r w:rsidRPr="007D0C9E">
        <w:rPr>
          <w:rFonts w:ascii="Times New Roman" w:hAnsi="Times New Roman" w:cs="Times New Roman"/>
          <w:b/>
          <w:bCs/>
          <w:sz w:val="24"/>
          <w:szCs w:val="24"/>
        </w:rPr>
        <w:t>Medical History</w:t>
      </w:r>
      <w:r w:rsidRPr="007D0C9E">
        <w:rPr>
          <w:rFonts w:ascii="Times New Roman" w:hAnsi="Times New Roman" w:cs="Times New Roman"/>
          <w:sz w:val="24"/>
          <w:szCs w:val="24"/>
        </w:rPr>
        <w:br/>
        <w:t>• Type 2 Diabetes Mellitus</w:t>
      </w:r>
      <w:r w:rsidRPr="007D0C9E">
        <w:rPr>
          <w:rFonts w:ascii="Times New Roman" w:hAnsi="Times New Roman" w:cs="Times New Roman"/>
          <w:sz w:val="24"/>
          <w:szCs w:val="24"/>
        </w:rPr>
        <w:br/>
        <w:t>• Hypertension</w:t>
      </w:r>
      <w:r w:rsidRPr="007D0C9E">
        <w:rPr>
          <w:rFonts w:ascii="Times New Roman" w:hAnsi="Times New Roman" w:cs="Times New Roman"/>
          <w:sz w:val="24"/>
          <w:szCs w:val="24"/>
        </w:rPr>
        <w:br/>
        <w:t>• Dyslipidemia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b/>
          <w:bCs/>
          <w:sz w:val="24"/>
          <w:szCs w:val="24"/>
        </w:rPr>
        <w:t>Medication History</w:t>
      </w:r>
      <w:r w:rsidRPr="007D0C9E">
        <w:rPr>
          <w:rFonts w:ascii="Times New Roman" w:hAnsi="Times New Roman" w:cs="Times New Roman"/>
          <w:b/>
          <w:bCs/>
          <w:sz w:val="24"/>
          <w:szCs w:val="24"/>
        </w:rPr>
        <w:br/>
        <w:t>Drug</w:t>
      </w:r>
      <w:r w:rsidRPr="007D0C9E">
        <w:rPr>
          <w:rFonts w:ascii="Times New Roman" w:hAnsi="Times New Roman" w:cs="Times New Roman"/>
          <w:sz w:val="24"/>
          <w:szCs w:val="24"/>
        </w:rPr>
        <w:br/>
        <w:t>• Dapagliflozin – 10 mg once daily</w:t>
      </w:r>
      <w:r w:rsidRPr="007D0C9E">
        <w:rPr>
          <w:rFonts w:ascii="Times New Roman" w:hAnsi="Times New Roman" w:cs="Times New Roman"/>
          <w:sz w:val="24"/>
          <w:szCs w:val="24"/>
        </w:rPr>
        <w:br/>
        <w:t>• Metformin XR – 1000 mg twice daily</w:t>
      </w:r>
      <w:r w:rsidRPr="007D0C9E">
        <w:rPr>
          <w:rFonts w:ascii="Times New Roman" w:hAnsi="Times New Roman" w:cs="Times New Roman"/>
          <w:sz w:val="24"/>
          <w:szCs w:val="24"/>
        </w:rPr>
        <w:br/>
        <w:t>• Telmisartan – 40 mg once daily</w:t>
      </w:r>
      <w:r w:rsidRPr="007D0C9E">
        <w:rPr>
          <w:rFonts w:ascii="Times New Roman" w:hAnsi="Times New Roman" w:cs="Times New Roman"/>
          <w:sz w:val="24"/>
          <w:szCs w:val="24"/>
        </w:rPr>
        <w:br/>
        <w:t>• Rosuvastatin – 10 mg once daily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b/>
          <w:bCs/>
          <w:sz w:val="24"/>
          <w:szCs w:val="24"/>
        </w:rPr>
        <w:t>Timeline</w:t>
      </w:r>
      <w:r w:rsidRPr="007D0C9E">
        <w:rPr>
          <w:rFonts w:ascii="Times New Roman" w:hAnsi="Times New Roman" w:cs="Times New Roman"/>
          <w:sz w:val="24"/>
          <w:szCs w:val="24"/>
        </w:rPr>
        <w:br/>
        <w:t>Day 0 – Dapagliflozin initiated.</w:t>
      </w:r>
      <w:r w:rsidRPr="007D0C9E">
        <w:rPr>
          <w:rFonts w:ascii="Times New Roman" w:hAnsi="Times New Roman" w:cs="Times New Roman"/>
          <w:sz w:val="24"/>
          <w:szCs w:val="24"/>
        </w:rPr>
        <w:br/>
        <w:t>Week 6 – Patient developed nausea, abdominal pain and fatigue.</w:t>
      </w:r>
      <w:r w:rsidRPr="007D0C9E">
        <w:rPr>
          <w:rFonts w:ascii="Times New Roman" w:hAnsi="Times New Roman" w:cs="Times New Roman"/>
          <w:sz w:val="24"/>
          <w:szCs w:val="24"/>
        </w:rPr>
        <w:br/>
        <w:t>Week 7 – Admitted with euglycemic diabetic ketoacidosis.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b/>
          <w:bCs/>
          <w:sz w:val="24"/>
          <w:szCs w:val="24"/>
        </w:rPr>
        <w:t>Clinical Findings</w:t>
      </w:r>
      <w:r w:rsidRPr="007D0C9E">
        <w:rPr>
          <w:rFonts w:ascii="Times New Roman" w:hAnsi="Times New Roman" w:cs="Times New Roman"/>
          <w:sz w:val="24"/>
          <w:szCs w:val="24"/>
        </w:rPr>
        <w:br/>
        <w:t>BP: 110/70 mmHg</w:t>
      </w:r>
      <w:r w:rsidRPr="007D0C9E">
        <w:rPr>
          <w:rFonts w:ascii="Times New Roman" w:hAnsi="Times New Roman" w:cs="Times New Roman"/>
          <w:sz w:val="24"/>
          <w:szCs w:val="24"/>
        </w:rPr>
        <w:br/>
        <w:t>Pulse: 102 bpm</w:t>
      </w:r>
      <w:r w:rsidRPr="007D0C9E">
        <w:rPr>
          <w:rFonts w:ascii="Times New Roman" w:hAnsi="Times New Roman" w:cs="Times New Roman"/>
          <w:sz w:val="24"/>
          <w:szCs w:val="24"/>
        </w:rPr>
        <w:br/>
        <w:t>Temperature: 37.1°C</w:t>
      </w:r>
      <w:r w:rsidRPr="007D0C9E">
        <w:rPr>
          <w:rFonts w:ascii="Times New Roman" w:hAnsi="Times New Roman" w:cs="Times New Roman"/>
          <w:sz w:val="24"/>
          <w:szCs w:val="24"/>
        </w:rPr>
        <w:br/>
        <w:t>Respiratory Rate: 24 breaths/min</w:t>
      </w:r>
      <w:r w:rsidRPr="007D0C9E">
        <w:rPr>
          <w:rFonts w:ascii="Times New Roman" w:hAnsi="Times New Roman" w:cs="Times New Roman"/>
          <w:sz w:val="24"/>
          <w:szCs w:val="24"/>
        </w:rPr>
        <w:br/>
        <w:t>SpO₂: 98%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b/>
          <w:bCs/>
          <w:sz w:val="24"/>
          <w:szCs w:val="24"/>
        </w:rPr>
        <w:t>Laboratory Findings</w:t>
      </w:r>
      <w:r w:rsidRPr="007D0C9E">
        <w:rPr>
          <w:rFonts w:ascii="Times New Roman" w:hAnsi="Times New Roman" w:cs="Times New Roman"/>
          <w:sz w:val="24"/>
          <w:szCs w:val="24"/>
        </w:rPr>
        <w:br/>
        <w:t>Blood Glucose: 178 mg/dL</w:t>
      </w:r>
      <w:r w:rsidRPr="007D0C9E">
        <w:rPr>
          <w:rFonts w:ascii="Times New Roman" w:hAnsi="Times New Roman" w:cs="Times New Roman"/>
          <w:sz w:val="24"/>
          <w:szCs w:val="24"/>
        </w:rPr>
        <w:br/>
        <w:t>Arterial pH: 7.24</w:t>
      </w:r>
      <w:r w:rsidRPr="007D0C9E">
        <w:rPr>
          <w:rFonts w:ascii="Times New Roman" w:hAnsi="Times New Roman" w:cs="Times New Roman"/>
          <w:sz w:val="24"/>
          <w:szCs w:val="24"/>
        </w:rPr>
        <w:br/>
        <w:t>Serum Bicarbonate: 14 mmol/L</w:t>
      </w:r>
      <w:r w:rsidRPr="007D0C9E">
        <w:rPr>
          <w:rFonts w:ascii="Times New Roman" w:hAnsi="Times New Roman" w:cs="Times New Roman"/>
          <w:sz w:val="24"/>
          <w:szCs w:val="24"/>
        </w:rPr>
        <w:br/>
        <w:t>Serum Ketones: Positive</w:t>
      </w:r>
      <w:r w:rsidRPr="007D0C9E">
        <w:rPr>
          <w:rFonts w:ascii="Times New Roman" w:hAnsi="Times New Roman" w:cs="Times New Roman"/>
          <w:sz w:val="24"/>
          <w:szCs w:val="24"/>
        </w:rPr>
        <w:br/>
        <w:t>Anion Gap: Elevated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b/>
          <w:bCs/>
          <w:sz w:val="24"/>
          <w:szCs w:val="24"/>
        </w:rPr>
        <w:t>Management</w:t>
      </w:r>
      <w:r w:rsidRPr="007D0C9E">
        <w:rPr>
          <w:rFonts w:ascii="Times New Roman" w:hAnsi="Times New Roman" w:cs="Times New Roman"/>
          <w:sz w:val="24"/>
          <w:szCs w:val="24"/>
        </w:rPr>
        <w:br/>
        <w:t>• Dapagliflozin discontinued immediately.</w:t>
      </w:r>
      <w:r w:rsidRPr="007D0C9E">
        <w:rPr>
          <w:rFonts w:ascii="Times New Roman" w:hAnsi="Times New Roman" w:cs="Times New Roman"/>
          <w:sz w:val="24"/>
          <w:szCs w:val="24"/>
        </w:rPr>
        <w:br/>
        <w:t>• ICU admission.</w:t>
      </w:r>
      <w:r w:rsidRPr="007D0C9E">
        <w:rPr>
          <w:rFonts w:ascii="Times New Roman" w:hAnsi="Times New Roman" w:cs="Times New Roman"/>
          <w:sz w:val="24"/>
          <w:szCs w:val="24"/>
        </w:rPr>
        <w:br/>
        <w:t>• Intravenous insulin infusion.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sz w:val="24"/>
          <w:szCs w:val="24"/>
        </w:rPr>
        <w:lastRenderedPageBreak/>
        <w:t>• Intravenous fluids.</w:t>
      </w:r>
      <w:r w:rsidRPr="007D0C9E">
        <w:rPr>
          <w:rFonts w:ascii="Times New Roman" w:hAnsi="Times New Roman" w:cs="Times New Roman"/>
          <w:sz w:val="24"/>
          <w:szCs w:val="24"/>
        </w:rPr>
        <w:br/>
        <w:t>• Electrolyte correction.</w:t>
      </w:r>
    </w:p>
    <w:p w14:paraId="5A36DD6D" w14:textId="77777777" w:rsidR="00676309" w:rsidRPr="007D0C9E" w:rsidRDefault="00676309" w:rsidP="00676309">
      <w:pPr>
        <w:rPr>
          <w:rFonts w:ascii="Times New Roman" w:hAnsi="Times New Roman" w:cs="Times New Roman"/>
          <w:sz w:val="24"/>
          <w:szCs w:val="24"/>
        </w:rPr>
      </w:pPr>
      <w:r w:rsidRPr="007D0C9E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Pr="007D0C9E">
        <w:rPr>
          <w:rFonts w:ascii="Times New Roman" w:hAnsi="Times New Roman" w:cs="Times New Roman"/>
          <w:sz w:val="24"/>
          <w:szCs w:val="24"/>
        </w:rPr>
        <w:br/>
        <w:t>Clinical improvement within 48 hours. Discharged on basal-bolus insulin. No recurrence after discontinuation.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b/>
          <w:bCs/>
          <w:sz w:val="24"/>
          <w:szCs w:val="24"/>
        </w:rPr>
        <w:t>Evidence Supporting ADR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Segoe UI Symbol" w:hAnsi="Segoe UI Symbol" w:cs="Segoe UI Symbol"/>
          <w:sz w:val="24"/>
          <w:szCs w:val="24"/>
        </w:rPr>
        <w:t>✔</w:t>
      </w:r>
      <w:r w:rsidRPr="007D0C9E">
        <w:rPr>
          <w:rFonts w:ascii="Times New Roman" w:hAnsi="Times New Roman" w:cs="Times New Roman"/>
          <w:sz w:val="24"/>
          <w:szCs w:val="24"/>
        </w:rPr>
        <w:t xml:space="preserve"> Temporal relationship present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Segoe UI Symbol" w:hAnsi="Segoe UI Symbol" w:cs="Segoe UI Symbol"/>
          <w:sz w:val="24"/>
          <w:szCs w:val="24"/>
        </w:rPr>
        <w:t>✔</w:t>
      </w:r>
      <w:r w:rsidRPr="007D0C9E">
        <w:rPr>
          <w:rFonts w:ascii="Times New Roman" w:hAnsi="Times New Roman" w:cs="Times New Roman"/>
          <w:sz w:val="24"/>
          <w:szCs w:val="24"/>
        </w:rPr>
        <w:t xml:space="preserve"> Positive </w:t>
      </w:r>
      <w:proofErr w:type="spellStart"/>
      <w:r w:rsidRPr="007D0C9E">
        <w:rPr>
          <w:rFonts w:ascii="Times New Roman" w:hAnsi="Times New Roman" w:cs="Times New Roman"/>
          <w:sz w:val="24"/>
          <w:szCs w:val="24"/>
        </w:rPr>
        <w:t>dechallenge</w:t>
      </w:r>
      <w:proofErr w:type="spellEnd"/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Segoe UI Symbol" w:hAnsi="Segoe UI Symbol" w:cs="Segoe UI Symbol"/>
          <w:sz w:val="24"/>
          <w:szCs w:val="24"/>
        </w:rPr>
        <w:t>✘</w:t>
      </w:r>
      <w:r w:rsidRPr="007D0C9E">
        <w:rPr>
          <w:rFonts w:ascii="Times New Roman" w:hAnsi="Times New Roman" w:cs="Times New Roman"/>
          <w:sz w:val="24"/>
          <w:szCs w:val="24"/>
        </w:rPr>
        <w:t xml:space="preserve"> Rechallenge not performed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Segoe UI Symbol" w:hAnsi="Segoe UI Symbol" w:cs="Segoe UI Symbol"/>
          <w:sz w:val="24"/>
          <w:szCs w:val="24"/>
        </w:rPr>
        <w:t>✔</w:t>
      </w:r>
      <w:r w:rsidRPr="007D0C9E">
        <w:rPr>
          <w:rFonts w:ascii="Times New Roman" w:hAnsi="Times New Roman" w:cs="Times New Roman"/>
          <w:sz w:val="24"/>
          <w:szCs w:val="24"/>
        </w:rPr>
        <w:t xml:space="preserve"> Published reports available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b/>
          <w:bCs/>
          <w:sz w:val="24"/>
          <w:szCs w:val="24"/>
        </w:rPr>
        <w:br/>
        <w:t>Naranjo Assessment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00"/>
        <w:gridCol w:w="900"/>
        <w:gridCol w:w="900"/>
        <w:gridCol w:w="1200"/>
        <w:gridCol w:w="1200"/>
      </w:tblGrid>
      <w:tr w:rsidR="00676309" w:rsidRPr="007D0C9E" w14:paraId="020DFC73" w14:textId="77777777" w:rsidTr="00EF77FE">
        <w:tc>
          <w:tcPr>
            <w:tcW w:w="9500" w:type="dxa"/>
            <w:gridSpan w:val="5"/>
            <w:shd w:val="clear" w:color="auto" w:fill="BDD7EE"/>
          </w:tcPr>
          <w:p w14:paraId="05D97299" w14:textId="2BC2BD6A" w:rsidR="00676309" w:rsidRPr="007D0C9E" w:rsidRDefault="00676309" w:rsidP="00EF77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D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Casuality</w:t>
            </w:r>
            <w:proofErr w:type="spellEnd"/>
            <w:r w:rsidRPr="007D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D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Assesment</w:t>
            </w:r>
            <w:proofErr w:type="spellEnd"/>
          </w:p>
        </w:tc>
      </w:tr>
      <w:tr w:rsidR="00676309" w:rsidRPr="007D0C9E" w14:paraId="31FB6D0B" w14:textId="77777777" w:rsidTr="00EF77FE">
        <w:tc>
          <w:tcPr>
            <w:tcW w:w="5300" w:type="dxa"/>
            <w:shd w:val="clear" w:color="auto" w:fill="D9E2F3"/>
          </w:tcPr>
          <w:p w14:paraId="6D9A8956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900" w:type="dxa"/>
            <w:shd w:val="clear" w:color="auto" w:fill="D9E2F3"/>
          </w:tcPr>
          <w:p w14:paraId="5C93A5F9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900" w:type="dxa"/>
            <w:shd w:val="clear" w:color="auto" w:fill="D9E2F3"/>
          </w:tcPr>
          <w:p w14:paraId="27532A6F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200" w:type="dxa"/>
            <w:shd w:val="clear" w:color="auto" w:fill="D9E2F3"/>
          </w:tcPr>
          <w:p w14:paraId="3C8FAA28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Not Know</w:t>
            </w:r>
          </w:p>
        </w:tc>
        <w:tc>
          <w:tcPr>
            <w:tcW w:w="1200" w:type="dxa"/>
            <w:shd w:val="clear" w:color="auto" w:fill="D9E2F3"/>
          </w:tcPr>
          <w:p w14:paraId="6E7FA575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</w:t>
            </w:r>
          </w:p>
        </w:tc>
      </w:tr>
      <w:tr w:rsidR="00676309" w:rsidRPr="007D0C9E" w14:paraId="2767A6A2" w14:textId="77777777" w:rsidTr="00EF77FE">
        <w:tc>
          <w:tcPr>
            <w:tcW w:w="5300" w:type="dxa"/>
          </w:tcPr>
          <w:p w14:paraId="15931C6F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1. Are there previous conclusive reports on this reaction?</w:t>
            </w:r>
          </w:p>
        </w:tc>
        <w:tc>
          <w:tcPr>
            <w:tcW w:w="900" w:type="dxa"/>
          </w:tcPr>
          <w:p w14:paraId="47B69535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900" w:type="dxa"/>
          </w:tcPr>
          <w:p w14:paraId="4286E5A6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4C24F183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4052111F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</w:tr>
      <w:tr w:rsidR="00676309" w:rsidRPr="007D0C9E" w14:paraId="495F2B82" w14:textId="77777777" w:rsidTr="00EF77FE">
        <w:tc>
          <w:tcPr>
            <w:tcW w:w="5300" w:type="dxa"/>
          </w:tcPr>
          <w:p w14:paraId="4E705C8F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2. Did the adverse event appear after the suspected drug was administered?</w:t>
            </w:r>
          </w:p>
        </w:tc>
        <w:tc>
          <w:tcPr>
            <w:tcW w:w="900" w:type="dxa"/>
          </w:tcPr>
          <w:p w14:paraId="479BAD45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</w:p>
        </w:tc>
        <w:tc>
          <w:tcPr>
            <w:tcW w:w="900" w:type="dxa"/>
          </w:tcPr>
          <w:p w14:paraId="3A53094F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200" w:type="dxa"/>
          </w:tcPr>
          <w:p w14:paraId="1E98DBFD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693C4CE7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</w:p>
        </w:tc>
      </w:tr>
      <w:tr w:rsidR="00676309" w:rsidRPr="007D0C9E" w14:paraId="5AA59E25" w14:textId="77777777" w:rsidTr="00EF77FE">
        <w:tc>
          <w:tcPr>
            <w:tcW w:w="5300" w:type="dxa"/>
          </w:tcPr>
          <w:p w14:paraId="63150226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3. Did the adverse reaction improve when the drug was discontinued or a specific antagonist was administered?</w:t>
            </w:r>
          </w:p>
        </w:tc>
        <w:tc>
          <w:tcPr>
            <w:tcW w:w="900" w:type="dxa"/>
          </w:tcPr>
          <w:p w14:paraId="38006989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900" w:type="dxa"/>
          </w:tcPr>
          <w:p w14:paraId="02DD7EAC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06512E0E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736090F3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</w:tr>
      <w:tr w:rsidR="00676309" w:rsidRPr="007D0C9E" w14:paraId="54A6C5AB" w14:textId="77777777" w:rsidTr="00EF77FE">
        <w:tc>
          <w:tcPr>
            <w:tcW w:w="5300" w:type="dxa"/>
          </w:tcPr>
          <w:p w14:paraId="1EB0E74E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4. Did the adverse event reappear when the drug was re-administered?</w:t>
            </w:r>
          </w:p>
        </w:tc>
        <w:tc>
          <w:tcPr>
            <w:tcW w:w="900" w:type="dxa"/>
          </w:tcPr>
          <w:p w14:paraId="03A66A77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</w:p>
        </w:tc>
        <w:tc>
          <w:tcPr>
            <w:tcW w:w="900" w:type="dxa"/>
          </w:tcPr>
          <w:p w14:paraId="224F0384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200" w:type="dxa"/>
          </w:tcPr>
          <w:p w14:paraId="4C469FD7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4C6EE07C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76309" w:rsidRPr="007D0C9E" w14:paraId="352C596B" w14:textId="77777777" w:rsidTr="00EF77FE">
        <w:tc>
          <w:tcPr>
            <w:tcW w:w="5300" w:type="dxa"/>
          </w:tcPr>
          <w:p w14:paraId="1CFA1C0C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5. Are there alternative causes (other than the drug) that could on their own have caused the reaction?</w:t>
            </w:r>
          </w:p>
        </w:tc>
        <w:tc>
          <w:tcPr>
            <w:tcW w:w="900" w:type="dxa"/>
          </w:tcPr>
          <w:p w14:paraId="4212B38E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900" w:type="dxa"/>
          </w:tcPr>
          <w:p w14:paraId="627F1517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+2</w:t>
            </w:r>
          </w:p>
        </w:tc>
        <w:tc>
          <w:tcPr>
            <w:tcW w:w="1200" w:type="dxa"/>
          </w:tcPr>
          <w:p w14:paraId="405910A3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33E00BAA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</w:tr>
      <w:tr w:rsidR="00676309" w:rsidRPr="007D0C9E" w14:paraId="155AA566" w14:textId="77777777" w:rsidTr="00EF77FE">
        <w:tc>
          <w:tcPr>
            <w:tcW w:w="5300" w:type="dxa"/>
          </w:tcPr>
          <w:p w14:paraId="016F1D7D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6. Did the reaction reappear when a placebo was given?</w:t>
            </w:r>
          </w:p>
        </w:tc>
        <w:tc>
          <w:tcPr>
            <w:tcW w:w="900" w:type="dxa"/>
          </w:tcPr>
          <w:p w14:paraId="1ECB000E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900" w:type="dxa"/>
          </w:tcPr>
          <w:p w14:paraId="6CCDE30A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1200" w:type="dxa"/>
          </w:tcPr>
          <w:p w14:paraId="318BE6B0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5F1DCD52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76309" w:rsidRPr="007D0C9E" w14:paraId="4D0FF60A" w14:textId="77777777" w:rsidTr="00EF77FE">
        <w:tc>
          <w:tcPr>
            <w:tcW w:w="5300" w:type="dxa"/>
          </w:tcPr>
          <w:p w14:paraId="5187EF07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7. Was the drug detected in blood (or other fluids) in concentrations known to be toxic?</w:t>
            </w:r>
          </w:p>
        </w:tc>
        <w:tc>
          <w:tcPr>
            <w:tcW w:w="900" w:type="dxa"/>
          </w:tcPr>
          <w:p w14:paraId="66E9C97D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900" w:type="dxa"/>
          </w:tcPr>
          <w:p w14:paraId="31E3BA78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08756351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1A6FC61D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76309" w:rsidRPr="007D0C9E" w14:paraId="79C81A59" w14:textId="77777777" w:rsidTr="00EF77FE">
        <w:tc>
          <w:tcPr>
            <w:tcW w:w="5300" w:type="dxa"/>
          </w:tcPr>
          <w:p w14:paraId="785EBD9D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8. Was the reaction more severe when the dose was increased or less severe when the dose was decreased?</w:t>
            </w:r>
          </w:p>
        </w:tc>
        <w:tc>
          <w:tcPr>
            <w:tcW w:w="900" w:type="dxa"/>
          </w:tcPr>
          <w:p w14:paraId="659D2406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900" w:type="dxa"/>
          </w:tcPr>
          <w:p w14:paraId="587BDAE9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228A0998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249EC3BE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</w:tr>
      <w:tr w:rsidR="00676309" w:rsidRPr="007D0C9E" w14:paraId="0F0D263A" w14:textId="77777777" w:rsidTr="00EF77FE">
        <w:tc>
          <w:tcPr>
            <w:tcW w:w="5300" w:type="dxa"/>
          </w:tcPr>
          <w:p w14:paraId="0CA7CFBB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9. Did the patient have a similar reaction to the same or similar drugs in any previous exposure?</w:t>
            </w:r>
          </w:p>
        </w:tc>
        <w:tc>
          <w:tcPr>
            <w:tcW w:w="900" w:type="dxa"/>
          </w:tcPr>
          <w:p w14:paraId="1CD8F51A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900" w:type="dxa"/>
          </w:tcPr>
          <w:p w14:paraId="4A3FBAD0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09EEABA3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243B392D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76309" w:rsidRPr="007D0C9E" w14:paraId="4C597DC3" w14:textId="77777777" w:rsidTr="00EF77FE">
        <w:tc>
          <w:tcPr>
            <w:tcW w:w="5300" w:type="dxa"/>
          </w:tcPr>
          <w:p w14:paraId="06803F5D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10. Was the adverse event confirmed by any objective evidence?</w:t>
            </w:r>
          </w:p>
        </w:tc>
        <w:tc>
          <w:tcPr>
            <w:tcW w:w="900" w:type="dxa"/>
          </w:tcPr>
          <w:p w14:paraId="010B806C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  <w:tc>
          <w:tcPr>
            <w:tcW w:w="900" w:type="dxa"/>
          </w:tcPr>
          <w:p w14:paraId="314A541A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0B892B03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0" w:type="dxa"/>
          </w:tcPr>
          <w:p w14:paraId="2843CE99" w14:textId="77777777" w:rsidR="00676309" w:rsidRPr="007D0C9E" w:rsidRDefault="00676309" w:rsidP="00EF7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C9E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</w:p>
        </w:tc>
      </w:tr>
      <w:tr w:rsidR="00676309" w14:paraId="7579E11A" w14:textId="77777777" w:rsidTr="00EF77FE">
        <w:tc>
          <w:tcPr>
            <w:tcW w:w="8300" w:type="dxa"/>
            <w:gridSpan w:val="4"/>
            <w:shd w:val="clear" w:color="auto" w:fill="D9E2F3"/>
          </w:tcPr>
          <w:p w14:paraId="203A908C" w14:textId="77777777" w:rsidR="00676309" w:rsidRDefault="00676309" w:rsidP="00EF77FE">
            <w:r>
              <w:rPr>
                <w:b/>
                <w:bCs/>
                <w:sz w:val="20"/>
                <w:szCs w:val="20"/>
              </w:rPr>
              <w:t>TOTAL SCORE:</w:t>
            </w:r>
          </w:p>
        </w:tc>
        <w:tc>
          <w:tcPr>
            <w:tcW w:w="1200" w:type="dxa"/>
            <w:shd w:val="clear" w:color="auto" w:fill="D9E2F3"/>
          </w:tcPr>
          <w:p w14:paraId="01C81FD5" w14:textId="77777777" w:rsidR="00676309" w:rsidRDefault="00676309" w:rsidP="00EF77FE"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</w:tbl>
    <w:p w14:paraId="070BDE9E" w14:textId="77777777" w:rsidR="00676309" w:rsidRDefault="00676309" w:rsidP="00676309"/>
    <w:p w14:paraId="31B6A2BD" w14:textId="77777777" w:rsidR="00676309" w:rsidRDefault="00676309" w:rsidP="00676309"/>
    <w:p w14:paraId="51BBCCC0" w14:textId="6A04F223" w:rsidR="00676309" w:rsidRPr="007D0C9E" w:rsidRDefault="00676309" w:rsidP="00676309">
      <w:pPr>
        <w:rPr>
          <w:rFonts w:ascii="Times New Roman" w:hAnsi="Times New Roman" w:cs="Times New Roman"/>
          <w:sz w:val="24"/>
          <w:szCs w:val="24"/>
        </w:rPr>
      </w:pPr>
      <w:r w:rsidRPr="007D0C9E">
        <w:rPr>
          <w:rFonts w:ascii="Times New Roman" w:hAnsi="Times New Roman" w:cs="Times New Roman"/>
          <w:b/>
          <w:bCs/>
          <w:sz w:val="24"/>
          <w:szCs w:val="24"/>
        </w:rPr>
        <w:t>Causality Classification</w:t>
      </w:r>
      <w:r w:rsidRPr="007D0C9E">
        <w:rPr>
          <w:rFonts w:ascii="Times New Roman" w:hAnsi="Times New Roman" w:cs="Times New Roman"/>
          <w:sz w:val="24"/>
          <w:szCs w:val="24"/>
        </w:rPr>
        <w:br/>
        <w:t>Naranjo Scale – Probable ADR (Score: 5)</w:t>
      </w:r>
      <w:r w:rsidRPr="007D0C9E">
        <w:rPr>
          <w:rFonts w:ascii="Times New Roman" w:hAnsi="Times New Roman" w:cs="Times New Roman"/>
          <w:sz w:val="24"/>
          <w:szCs w:val="24"/>
        </w:rPr>
        <w:br/>
        <w:t>WHO-UMC Scale – Probable/Likely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b/>
          <w:bCs/>
          <w:sz w:val="24"/>
          <w:szCs w:val="24"/>
        </w:rPr>
        <w:t>Severity</w:t>
      </w:r>
      <w:r w:rsidRPr="007D0C9E">
        <w:rPr>
          <w:rFonts w:ascii="Times New Roman" w:hAnsi="Times New Roman" w:cs="Times New Roman"/>
          <w:sz w:val="24"/>
          <w:szCs w:val="24"/>
        </w:rPr>
        <w:br/>
        <w:t>Severe – Required ICU admission and specific treatment; patient recovered completely.</w:t>
      </w:r>
    </w:p>
    <w:p w14:paraId="2578F3A9" w14:textId="77777777" w:rsidR="00676309" w:rsidRPr="007D0C9E" w:rsidRDefault="00676309" w:rsidP="00676309">
      <w:pPr>
        <w:rPr>
          <w:rFonts w:ascii="Times New Roman" w:hAnsi="Times New Roman" w:cs="Times New Roman"/>
          <w:sz w:val="24"/>
          <w:szCs w:val="24"/>
        </w:rPr>
      </w:pPr>
      <w:r w:rsidRPr="007D0C9E">
        <w:rPr>
          <w:rFonts w:ascii="Times New Roman" w:hAnsi="Times New Roman" w:cs="Times New Roman"/>
          <w:b/>
          <w:bCs/>
          <w:sz w:val="24"/>
          <w:szCs w:val="24"/>
        </w:rPr>
        <w:t>Mechanism</w:t>
      </w:r>
      <w:r w:rsidRPr="007D0C9E">
        <w:rPr>
          <w:rFonts w:ascii="Times New Roman" w:hAnsi="Times New Roman" w:cs="Times New Roman"/>
          <w:sz w:val="24"/>
          <w:szCs w:val="24"/>
        </w:rPr>
        <w:br/>
        <w:t>SGLT2 inhibitors may precipitate euglycemic diabetic ketoacidosis by increasing glucagon secretion, promoting ketogenesis, and reducing insulin requirements, especially during dehydration or reduced carbohydrate intake.</w:t>
      </w:r>
      <w:r w:rsidRPr="007D0C9E">
        <w:rPr>
          <w:rFonts w:ascii="Times New Roman" w:hAnsi="Times New Roman" w:cs="Times New Roman"/>
          <w:sz w:val="24"/>
          <w:szCs w:val="24"/>
        </w:rPr>
        <w:br/>
      </w:r>
      <w:r w:rsidRPr="007D0C9E">
        <w:rPr>
          <w:rFonts w:ascii="Times New Roman" w:hAnsi="Times New Roman" w:cs="Times New Roman"/>
          <w:b/>
          <w:bCs/>
          <w:sz w:val="24"/>
          <w:szCs w:val="24"/>
        </w:rPr>
        <w:t>Final Diagnosis</w:t>
      </w:r>
      <w:r w:rsidRPr="007D0C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408776" w14:textId="5C6EB674" w:rsidR="00676309" w:rsidRPr="007D0C9E" w:rsidRDefault="00676309" w:rsidP="00676309">
      <w:pPr>
        <w:rPr>
          <w:rFonts w:ascii="Times New Roman" w:hAnsi="Times New Roman" w:cs="Times New Roman"/>
          <w:sz w:val="24"/>
          <w:szCs w:val="24"/>
        </w:rPr>
      </w:pPr>
      <w:r w:rsidRPr="007D0C9E">
        <w:rPr>
          <w:rFonts w:ascii="Times New Roman" w:hAnsi="Times New Roman" w:cs="Times New Roman"/>
          <w:sz w:val="24"/>
          <w:szCs w:val="24"/>
        </w:rPr>
        <w:t>Dapagliflozin-induced Euglycemic Diabetic Ketoacidosis.</w:t>
      </w:r>
    </w:p>
    <w:p w14:paraId="382299EA" w14:textId="096DC753" w:rsidR="00676309" w:rsidRPr="007D0C9E" w:rsidRDefault="00676309" w:rsidP="0067630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D0C9E">
        <w:rPr>
          <w:rFonts w:ascii="Times New Roman" w:hAnsi="Times New Roman" w:cs="Times New Roman"/>
          <w:b/>
          <w:bCs/>
          <w:sz w:val="24"/>
          <w:szCs w:val="24"/>
        </w:rPr>
        <w:t>Sai Kumar</w:t>
      </w:r>
      <w:r w:rsidR="007D0C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D0C9E">
        <w:rPr>
          <w:rFonts w:ascii="Times New Roman" w:hAnsi="Times New Roman" w:cs="Times New Roman"/>
          <w:b/>
          <w:bCs/>
          <w:sz w:val="24"/>
          <w:szCs w:val="24"/>
        </w:rPr>
        <w:t>Beldona</w:t>
      </w:r>
      <w:proofErr w:type="spellEnd"/>
    </w:p>
    <w:p w14:paraId="28E9EBE5" w14:textId="7798B347" w:rsidR="00676309" w:rsidRPr="00676309" w:rsidRDefault="00676309" w:rsidP="00676309">
      <w:pPr>
        <w:jc w:val="right"/>
        <w:rPr>
          <w:b/>
          <w:bCs/>
        </w:rPr>
      </w:pPr>
      <w:r w:rsidRPr="007D0C9E">
        <w:rPr>
          <w:rFonts w:ascii="Times New Roman" w:hAnsi="Times New Roman" w:cs="Times New Roman"/>
          <w:b/>
          <w:bCs/>
          <w:sz w:val="24"/>
          <w:szCs w:val="24"/>
        </w:rPr>
        <w:t xml:space="preserve"> 6303461972</w:t>
      </w:r>
    </w:p>
    <w:sectPr w:rsidR="00676309" w:rsidRPr="00676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09"/>
    <w:rsid w:val="000F5499"/>
    <w:rsid w:val="000F78A1"/>
    <w:rsid w:val="00165E24"/>
    <w:rsid w:val="00555B20"/>
    <w:rsid w:val="00676309"/>
    <w:rsid w:val="00765B37"/>
    <w:rsid w:val="007D0C9E"/>
    <w:rsid w:val="008825CE"/>
    <w:rsid w:val="009B113D"/>
    <w:rsid w:val="00E21925"/>
    <w:rsid w:val="00F6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FFB67"/>
  <w15:chartTrackingRefBased/>
  <w15:docId w15:val="{4987A229-1866-4D4C-A140-1EE051C79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30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0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7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6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6309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BELDONA SAI KUMAR</dc:creator>
  <cp:keywords/>
  <dc:description/>
  <cp:lastModifiedBy>BELDONA SAI KUMAR</cp:lastModifiedBy>
  <cp:revision>3</cp:revision>
  <dcterms:created xsi:type="dcterms:W3CDTF">2026-07-20T07:09:00Z</dcterms:created>
  <dcterms:modified xsi:type="dcterms:W3CDTF">2026-07-20T16:07:00Z</dcterms:modified>
</cp:coreProperties>
</file>