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 to ………………………,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p>
      <w:pPr>
        <w:spacing w:after="0" w:line="360"/>
      </w:pPr>
      <w:r>
        <w:rPr>
          <w:rFonts w:ascii="Times New Roman" w:cs="Times New Roman" w:eastAsia="Times New Roman" w:hAnsi="Times New Roman"/>
          <w:color w:val="000000"/>
          <w:sz w:val="24"/>
          <w:szCs w:val="24"/>
        </w:rPr>
        <w:t xml:space="preserve"/>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Tables</w:t>
      </w:r>
      <w:r>
        <w:rPr>
          <w:rFonts w:ascii="Times New Roman" w:cs="Times New Roman" w:eastAsia="Times New Roman" w:hAnsi="Times New Roman"/>
          <w:color w:val="000000"/>
          <w:sz w:val="24"/>
          <w:szCs w:val="24"/>
        </w:rPr>
        <w:tab/>
        <w:t xml:space="preserve">6</w:t>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Figures</w:t>
      </w:r>
      <w:r>
        <w:rPr>
          <w:rFonts w:ascii="Times New Roman" w:cs="Times New Roman" w:eastAsia="Times New Roman" w:hAnsi="Times New Roman"/>
          <w:color w:val="000000"/>
          <w:sz w:val="24"/>
          <w:szCs w:val="24"/>
        </w:rPr>
        <w:tab/>
        <w:t xml:space="preserve">7</w:t>
      </w:r>
    </w:p>
    <w:p>
      <w:pPr>
        <w:tabs>
          <w:tab w:val="right" w:pos="8300" w:leader="dot"/>
        </w:tabs>
        <w:spacing w:after="90" w:line="240"/>
        <w:ind w:left="0"/>
      </w:pPr>
      <w:r>
        <w:rPr>
          <w:rFonts w:ascii="Times New Roman" w:cs="Times New Roman" w:eastAsia="Times New Roman" w:hAnsi="Times New Roman"/>
          <w:color w:val="000000"/>
          <w:sz w:val="24"/>
          <w:szCs w:val="24"/>
        </w:rPr>
        <w:t xml:space="preserve">Applied Software Project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Abstract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Project Description</w:t>
      </w:r>
      <w:r>
        <w:rPr>
          <w:rFonts w:ascii="Times New Roman" w:cs="Times New Roman" w:eastAsia="Times New Roman" w:hAnsi="Times New Roman"/>
          <w:color w:val="000000"/>
          <w:sz w:val="24"/>
          <w:szCs w:val="24"/>
        </w:rPr>
        <w:tab/>
        <w:t xml:space="preserve">10</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Requirement Gathering</w:t>
      </w:r>
      <w:r>
        <w:rPr>
          <w:rFonts w:ascii="Times New Roman" w:cs="Times New Roman" w:eastAsia="Times New Roman" w:hAnsi="Times New Roman"/>
          <w:color w:val="000000"/>
          <w:sz w:val="24"/>
          <w:szCs w:val="24"/>
        </w:rPr>
        <w:tab/>
        <w:t xml:space="preserve">13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Class Diagrams</w:t>
      </w:r>
      <w:r>
        <w:rPr>
          <w:rFonts w:ascii="Times New Roman" w:cs="Times New Roman" w:eastAsia="Times New Roman" w:hAnsi="Times New Roman"/>
          <w:color w:val="000000"/>
          <w:sz w:val="24"/>
          <w:szCs w:val="24"/>
        </w:rPr>
        <w:tab/>
        <w:t xml:space="preserve">19</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Database Schema Design</w:t>
      </w:r>
      <w:r>
        <w:rPr>
          <w:rFonts w:ascii="Times New Roman" w:cs="Times New Roman" w:eastAsia="Times New Roman" w:hAnsi="Times New Roman"/>
          <w:color w:val="000000"/>
          <w:sz w:val="24"/>
          <w:szCs w:val="24"/>
        </w:rPr>
        <w:tab/>
        <w:t xml:space="preserve">23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Feature Development Process</w:t>
      </w:r>
      <w:r>
        <w:rPr>
          <w:rFonts w:ascii="Times New Roman" w:cs="Times New Roman" w:eastAsia="Times New Roman" w:hAnsi="Times New Roman"/>
          <w:color w:val="000000"/>
          <w:sz w:val="24"/>
          <w:szCs w:val="24"/>
        </w:rPr>
        <w:tab/>
        <w:t xml:space="preserve">28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Deployment Flow</w:t>
      </w:r>
      <w:r>
        <w:rPr>
          <w:rFonts w:ascii="Times New Roman" w:cs="Times New Roman" w:eastAsia="Times New Roman" w:hAnsi="Times New Roman"/>
          <w:color w:val="000000"/>
          <w:sz w:val="24"/>
          <w:szCs w:val="24"/>
        </w:rPr>
        <w:tab/>
        <w:t xml:space="preserve">33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Technologies Used</w:t>
      </w:r>
      <w:r>
        <w:rPr>
          <w:rFonts w:ascii="Times New Roman" w:cs="Times New Roman" w:eastAsia="Times New Roman" w:hAnsi="Times New Roman"/>
          <w:color w:val="000000"/>
          <w:sz w:val="24"/>
          <w:szCs w:val="24"/>
        </w:rPr>
        <w:tab/>
        <w:t xml:space="preserve">37</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Conclusion</w:t>
      </w:r>
      <w:r>
        <w:rPr>
          <w:rFonts w:ascii="Times New Roman" w:cs="Times New Roman" w:eastAsia="Times New Roman" w:hAnsi="Times New Roman"/>
          <w:color w:val="000000"/>
          <w:sz w:val="24"/>
          <w:szCs w:val="24"/>
        </w:rPr>
        <w:tab/>
        <w:t xml:space="preserve">45</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References</w:t>
      </w:r>
      <w:r>
        <w:rPr>
          <w:rFonts w:ascii="Times New Roman" w:cs="Times New Roman" w:eastAsia="Times New Roman" w:hAnsi="Times New Roman"/>
          <w:color w:val="000000"/>
          <w:sz w:val="24"/>
          <w:szCs w:val="24"/>
        </w:rPr>
        <w:tab/>
        <w:t xml:space="preserve">49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46</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12</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33</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instead of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133 automated tests with JaCoCo-measured coverage of 64.6% of lines on the API service and 53.1% across the two tested modules.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(treating a slow, non-deterministic external model as an unreliable asynchronous dependency behind a durable queue, with schema validation on its output)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instead of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instead of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instead of remaining PENDING indefinitely.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2"/>
        <w:gridCol w:w="6315"/>
        <w:gridCol w:w="1083"/>
      </w:tblGrid>
      <w:tr>
        <w:trPr>
          <w:tblHeader/>
        </w:trPr>
        <w:tc>
          <w:tcPr>
            <w:tcW w:type="dxa" w:w="90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3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83"/>
        <w:gridCol w:w="1804"/>
        <w:gridCol w:w="5413"/>
      </w:tblGrid>
      <w:tr>
        <w:trPr>
          <w:tblHeader/>
        </w:trPr>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0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41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instead of lost.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authentication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authorisation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credentials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instead of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43"/>
        <w:gridCol w:w="5298"/>
        <w:gridCol w:w="1059"/>
      </w:tblGrid>
      <w:tr>
        <w:trPr>
          <w:tblHeader/>
        </w:trPr>
        <w:tc>
          <w:tcPr>
            <w:tcW w:type="dxa" w:w="19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29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05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no object storage provisioned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3"/>
        <w:gridCol w:w="4743"/>
        <w:gridCol w:w="1186"/>
        <w:gridCol w:w="1368"/>
      </w:tblGrid>
      <w:tr>
        <w:trPr>
          <w:tblHeader/>
        </w:trPr>
        <w:tc>
          <w:tcPr>
            <w:tcW w:type="dxa" w:w="10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47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18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3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 ID</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instead of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instead of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(a scheduled task, a second controller, a message handler)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2767"/>
        <w:gridCol w:w="4150"/>
      </w:tblGrid>
      <w:tr>
        <w:trPr>
          <w:tblHeader/>
        </w:trPr>
        <w:tc>
          <w:tcPr>
            <w:tcW w:type="dxa" w:w="13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1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RateLimitFilter then JwtAuthFilter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rejected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instead of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 Seven tables carry the domain; migration V8 also creates a subscriptions table left over from a removed payment integration, which no entity maps and no code writes to, so a database built from the full migration chain holds eight tables rather than seven:</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 (SUMMARY, EXPERIENCE, EDUCATION, SKILLS, PROJECTS, CERTIFICATIONS,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missing_keywords, text, the posting terms absent from the tailored resume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84"/>
        <w:gridCol w:w="6116"/>
      </w:tblGrid>
      <w:tr>
        <w:trPr>
          <w:tblHeader/>
        </w:trPr>
        <w:tc>
          <w:tcPr>
            <w:tcW w:type="dxa" w:w="218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11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5"/>
        <w:gridCol w:w="3495"/>
      </w:tblGrid>
      <w:tr>
        <w:trPr>
          <w:tblHeader/>
        </w:trPr>
        <w:tc>
          <w:tcPr>
            <w:tcW w:type="dxa" w:w="480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49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3"/>
        <w:gridCol w:w="2767"/>
      </w:tblGrid>
      <w:tr>
        <w:trPr>
          <w:tblHeader/>
        </w:trPr>
        <w:tc>
          <w:tcPr>
            <w:tcW w:type="dxa" w:w="553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instead of an auto-incrementing integer. The reason is that identifiers appear in URLs. A sequential integer key would let any authenticated user enumerate the identifier space and discover how many records exist and whether a particular one does,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(one mapped with mappedBy, where the foreign key is owned by the child)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instead of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The N+1 select problem. Five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the same input can yield different numbers,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retrieving all of a user’s master resumes together with their sections,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18"/>
        <w:gridCol w:w="1509"/>
        <w:gridCol w:w="1509"/>
        <w:gridCol w:w="2264"/>
      </w:tblGrid>
      <w:tr>
        <w:trPr>
          <w:tblHeader/>
        </w:trPr>
        <w:tc>
          <w:tcPr>
            <w:tcW w:type="dxa" w:w="301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2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The original 31 were one query for the parent rows plus one for each resume, and the fetch join collapses them into a single statement. Median latency in the run reported here falls from 3.487 ms to 1.126 ms, an improvement of 67.7%. Absolute timings vary between runs and machines, so a re-run will not reproduce these figures exactly; the statement count is the stable measure. The proportional gain would be substantially larger against a networked database, because each eliminated statement there costs a network round trip instead of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the count of unprocessed events, because its load is a queue depth instead of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instead of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keeps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instead of self-managed brokers, because broker operation (rebalancing, patching, storage management)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would be held in AWS Secrets Manager and injected at container start rather than baked into an image. This matches the application’s own configuration model, in which every production value resolves from an environment variable and the service fails to start if a required one is absent. The Kubernetes manifests in the repository do not yet meet that standard, as Section 9.3 records.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instead of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(declarative transactions, a security filter chain, JPA persistence and Kafka integration) are all first-class in the Spring ecosystem instead of assembled from unrelated libraries. Static typing also carries weight on a system with seven interrelated entities: a rename or a signature change surfaces at compile time instead of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instead of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The dashboard looked correct while displaying nothing. Monitoring that is never checked against a real signal will fail silently, and the only reliable defence is to verify the scrape target instead of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instead of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133 tests, all passing, and is verified reproducibly.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8.01: Automated test suites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58"/>
        <w:gridCol w:w="830"/>
        <w:gridCol w:w="5312"/>
      </w:tblGrid>
      <w:tr>
        <w:trPr>
          <w:tblHeader/>
        </w:trPr>
        <w:tc>
          <w:tcPr>
            <w:tcW w:type="dxa" w:w="215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3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31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(worker service)</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18</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that actually runs in production: keyword overlap, section completeness, action-verb density, the weighted total and the missing-keyword report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TailoringGuardrailValidatorTest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validation: unknown keys dropped, placeholders and blanks rejected, oversized sections truncated, unusable output refused outright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Duplicate suppression: a first delivery passes, a redelivery is refused, and the marker is namespaced with a bounded expiry</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(that a filter chain refuses a cross-tenant request, that a rate limiter returns 429)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a double whose interactions are themselves the assertion. TailoringProducer is a mock: the observable behaviour of triggerTailoring is that it publishes exactly one event with particular contents, so the test asserts with verify() and an ArgumentCaptor instead of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8.02: Technology selection and rationale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75"/>
        <w:gridCol w:w="2490"/>
        <w:gridCol w:w="3735"/>
      </w:tblGrid>
      <w:tr>
        <w:trPr>
          <w:tblHeader/>
        </w:trPr>
        <w:tc>
          <w:tcPr>
            <w:tcW w:type="dxa" w:w="20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7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instead of exactly-once delivery changed the consumer’s design. Redelivery is normal operation instead of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instead of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90"/>
        <w:gridCol w:w="5810"/>
      </w:tblGrid>
      <w:tr>
        <w:trPr>
          <w:tblHeader/>
        </w:trPr>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58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line coverage is 64.6% on the resume service and 28.6% on the worker, 53.1% across the two. The API gateway has no suite, and the worker tests cover its scoring, guardrail and idempotency logic but not the Kafka consumer itself.</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Kubernetes manifests hold a plaintext password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infrastructure/kubernetes/resume-service/deployment.yaml and the worker equivalent set SPRING_DATASOURCE_PASSWORD to a literal value committed to the repository, which contradicts the environment-variable model the services themselves use. Remedied by a Kubernetes Secret or an external secrets store.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Extend the worker suite to the Kafka consumer itself, which the current tests do not drive.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pPr>
        <w:pStyle w:val="Heading1"/>
        <w:pageBreakBefore/>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Apache Software Foundation, Apache Kafka Documentation: Design and Delivery Semantics, kafka.apache.org/documentation,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Security Reference: Architecture and Authorization, docs.spring.io/spring-security/reference,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 Hat, Hibernate ORM 6.5 User Guide: Associations, Fetching and Locking, docs.jboss.org/hibernate/orm/6.5/userguide,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Indexes and Concurrency Control, postgresql.org/docs/16,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Redgate, Flyway Documentation: Migrations and Versioning, documentation.red-gate.com/flyway,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Redis Ltd., Redis Documentation: Key Expiration and Data Types, redis.io/docs,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RDS User Guide: Multi-AZ Deployments, docs.aws.amazon.com/AmazonRDS,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API Security Top 10: API1:2023 Broken Object Level Authorization, owasp.org/API-Security,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LLM01 Prompt Injection, owasp.org/www-project-top-10-for-large-language-model-applications,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Section 6.3.3 (202 Accepted), Internet Engineering Task Force, 2014.</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Richardson C., Microservices Patterns, Chapter 3, Transactional Messaging and the Outbox Pattern, Manning Publications, 2018.</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Optimistic Offline Lock, Addison-Wesley, 2002.</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b0b92db088130cd04d160b82a9f142f31d1d3bb2.png"/><Relationship Id="rId14" Type="http://schemas.openxmlformats.org/officeDocument/2006/relationships/image" Target="media/0e689f5e310b5334f01682d9ffbc1407c86ce60d.png"/><Relationship Id="rId15" Type="http://schemas.openxmlformats.org/officeDocument/2006/relationships/image" Target="media/4f41294e62be1d64ceabd8b794699d97438ecc13.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Applied Software Project Report</dc:title>
  <dc:creator>Sai Kumaresh</dc:creator>
  <dc:description>Master of Science in Computer Science, Scaler Neovarsity / Woolf</dc:description>
  <cp:lastModifiedBy>Un-named</cp:lastModifiedBy>
  <cp:revision>1</cp:revision>
  <dcterms:created xsi:type="dcterms:W3CDTF">2026-08-10T01:24:06.810Z</dcterms:created>
  <dcterms:modified xsi:type="dcterms:W3CDTF">2026-08-10T01:24:06.814Z</dcterms:modified>
</cp:coreProperties>
</file>

<file path=docProps/custom.xml><?xml version="1.0" encoding="utf-8"?>
<Properties xmlns="http://schemas.openxmlformats.org/officeDocument/2006/custom-properties" xmlns:vt="http://schemas.openxmlformats.org/officeDocument/2006/docPropsVTypes"/>
</file>