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Date: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155 automated tests with JaCoCo-measured coverage of 84.0% of lines on the gateway, 64.6% on the API service and 55.0% across the three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7528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 Seven tables carry the domain, and the migration chain creates three more that nothing uses. Migration V3 adds batch_requests and batch_items for a batch-processing feature that was never built, and migration V8 recreates a subscriptions table left over from a removed payment integration after migration V7 had dropped it. No entity maps any of the three and no code reads or writes them, so a database built from the full chain holds ten tables rather than the seven the application needs:</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CERTIFICATIONS,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missing_keywords, text, the posting terms absent from the tailored resume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6099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and the tailored resume both carry a version column mapped with @Version.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Five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in the run reported here falls from 3.487 ms to 1.126 ms, an improvement of 67.7%. Absolute timings vary between runs and machines, so a re-run will not reproduce these figures exactly; the statement count is the stable measure.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would be held in AWS Secrets Manager and injected at container start rather than baked into an image. This matches the application’s own configuration model, in which every production value resolves from an environment variable and the service fails to start if a required one is absent. The Kubernetes manifests in the repository do not yet meet that standard, as Section 9.3 records.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155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JwtUtilTest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 checking at the edge: a token signed with another secret, an expired token, an unsigned token and malformed input are each refused, and claims cannot be read from a forged token</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JwtGatewayConfigTest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Which paths are reachable without a token, including a test recording that prefix matching is broader than intended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JwtAuthFilterTest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filter refuses a request with no token, a wrong scheme, a forged token or an expired one, and attaches the caller identity header when the token is valid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Dead tables in the migration chain</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database built from V1 to V8 holds three tables no entity maps and no code touches: batch_requests and batch_items from an abandoned batch feature, and subscriptions from a removed payment integration. They are harmless because ddl-auto is set to validate rather than update, but they should be removed by a further migration so the schema describes only what the system uses.</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84.0% on the gateway, 64.6% on the resume service and 28.6% on the worker, 55.0% across the three.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Kubernetes manifests hold a plaintext password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infrastructure/kubernetes/resume-service/deployment.yaml and the worker equivalent set SPRING_DATASOURCE_PASSWORD to a literal value committed to the repository, which contradicts the environment-variable model the services themselves use. Remedied by a Kubernetes Secret or an external secrets store.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65481f7bb38eb71b9fc10ee8304fb2665269e612.png"/><Relationship Id="rId14" Type="http://schemas.openxmlformats.org/officeDocument/2006/relationships/image" Target="media/0e689f5e310b5334f01682d9ffbc1407c86ce60d.png"/><Relationship Id="rId15" Type="http://schemas.openxmlformats.org/officeDocument/2006/relationships/image" Target="media/de291daa09861718de6b45db0d1e8b468768851b.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2026-08-10T14:33:21.146Z</dcterms:created>
  <dcterms:modified xsi:type="dcterms:W3CDTF">2026-08-10T14:33:21.148Z</dcterms:modified>
</cp:coreProperties>
</file>

<file path=docProps/custom.xml><?xml version="1.0" encoding="utf-8"?>
<Properties xmlns="http://schemas.openxmlformats.org/officeDocument/2006/custom-properties" xmlns:vt="http://schemas.openxmlformats.org/officeDocument/2006/docPropsVTypes"/>
</file>