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133 automated tests with JaCoCo-measured coverage of 64.6% of lines on the API service and 53.1% across the two tested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7528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 Seven tables carry the domain; migration V8 also creates a subscriptions table left over from a removed payment integration, which no entity maps and no code writes to, so a database built from the full migration chain holds eight tables rather than seven:</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CERTIFICATIONS,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missing_keywords, text, the posting terms absent from the tailored resume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6099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and the tailored resume both carry a version column mapped with @Version.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Five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in the run reported here falls from 3.487 ms to 1.126 ms, an improvement of 67.7%. Absolute timings vary between runs and machines, so a re-run will not reproduce these figures exactly; the statement count is the stable measure.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would be held in AWS Secrets Manager and injected at container start rather than baked into an image. This matches the application’s own configuration model, in which every production value resolves from an environment variable and the service fails to start if a required one is absent. The Kubernetes manifests in the repository do not yet meet that standard, as Section 9.3 records.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133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64.6% on the resume service and 28.6% on the worker, 53.1% across the two. The API gateway has no suite, and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Kubernetes manifests hold a plaintext password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infrastructure/kubernetes/resume-service/deployment.yaml and the worker equivalent set SPRING_DATASOURCE_PASSWORD to a literal value committed to the repository, which contradicts the environment-variable model the services themselves use. Remedied by a Kubernetes Secret or an external secrets store.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65481f7bb38eb71b9fc10ee8304fb2665269e612.png"/><Relationship Id="rId14" Type="http://schemas.openxmlformats.org/officeDocument/2006/relationships/image" Target="media/0e689f5e310b5334f01682d9ffbc1407c86ce60d.png"/><Relationship Id="rId15" Type="http://schemas.openxmlformats.org/officeDocument/2006/relationships/image" Target="media/de291daa09861718de6b45db0d1e8b468768851b.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2026-08-10T13:31:32.479Z</dcterms:created>
  <dcterms:modified xsi:type="dcterms:W3CDTF">2026-08-10T13:31:32.482Z</dcterms:modified>
</cp:coreProperties>
</file>

<file path=docProps/custom.xml><?xml version="1.0" encoding="utf-8"?>
<Properties xmlns="http://schemas.openxmlformats.org/officeDocument/2006/custom-properties" xmlns:vt="http://schemas.openxmlformats.org/officeDocument/2006/docPropsVTypes"/>
</file>