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36"/>
          <w:szCs w:val="36"/>
        </w:rPr>
        <w:t xml:space="preserve">Applied Software Project Report</w:t>
      </w:r>
    </w:p>
    <w:p>
      <w:pPr>
        <w:spacing w:after="300" w:line="360"/>
        <w:jc w:val="center"/>
      </w:pPr>
      <w:r>
        <w:rPr>
          <w:rFonts w:ascii="Times New Roman" w:cs="Times New Roman" w:eastAsia="Times New Roman" w:hAnsi="Times New Roman"/>
          <w:color w:val="000000"/>
          <w:sz w:val="24"/>
          <w:szCs w:val="24"/>
        </w:rPr>
        <w:t xml:space="preserve">By</w:t>
      </w:r>
    </w:p>
    <w:p>
      <w:pPr>
        <w:spacing w:after="500" w:line="360"/>
        <w:jc w:val="center"/>
      </w:pPr>
      <w:r>
        <w:rPr>
          <w:rFonts w:ascii="Times New Roman" w:cs="Times New Roman" w:eastAsia="Times New Roman" w:hAnsi="Times New Roman"/>
          <w:b/>
          <w:bCs/>
          <w:color w:val="000000"/>
          <w:sz w:val="30"/>
          <w:szCs w:val="30"/>
        </w:rPr>
        <w:t xml:space="preserve">Sai Kumaresh</w:t>
      </w:r>
    </w:p>
    <w:p>
      <w:pPr>
        <w:spacing w:after="50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600" w:line="360"/>
        <w:jc w:val="center"/>
      </w:pPr>
      <w:r>
        <w:rPr>
          <w:rFonts w:ascii="Times New Roman" w:cs="Times New Roman" w:eastAsia="Times New Roman" w:hAnsi="Times New Roman"/>
          <w:b/>
          <w:bCs/>
          <w:color w:val="000000"/>
          <w:sz w:val="24"/>
          <w:szCs w:val="24"/>
        </w:rPr>
        <w:t xml:space="preserve">August, 2026</w:t>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11"/>
        <w:gridCol w:w="5878"/>
        <w:gridCol w:w="1411"/>
      </w:tblGrid>
      <w:tr>
        <w:trPr>
          <w:tblHeader/>
        </w:trPr>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87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8.04</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11"/>
        <w:gridCol w:w="5878"/>
        <w:gridCol w:w="1411"/>
      </w:tblGrid>
      <w:tr>
        <w:trPr>
          <w:tblHeader/>
        </w:trPr>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87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rather than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94 automated tests with JaCoCo-measured coverage of 64.6% of lines on the primary service.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 treating a slow, non-deterministic external model as an unreliable asynchronous dependency behind a durable queue, with schema validation on its output —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rather than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rather than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rather than remaining PENDING indefinitely —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946"/>
        <w:gridCol w:w="6620"/>
        <w:gridCol w:w="1134"/>
      </w:tblGrid>
      <w:tr>
        <w:trPr>
          <w:tblHeader/>
        </w:trPr>
        <w:tc>
          <w:tcPr>
            <w:tcW w:type="dxa" w:w="9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62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13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35"/>
        <w:gridCol w:w="1891"/>
        <w:gridCol w:w="5674"/>
      </w:tblGrid>
      <w:tr>
        <w:trPr>
          <w:tblHeader/>
        </w:trPr>
        <w:tc>
          <w:tcPr>
            <w:tcW w:type="dxa" w:w="11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9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67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rather than lost.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authentication</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authorisation</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credentials</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rather than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036"/>
        <w:gridCol w:w="5553"/>
        <w:gridCol w:w="1111"/>
      </w:tblGrid>
      <w:tr>
        <w:trPr>
          <w:tblHeader/>
        </w:trPr>
        <w:tc>
          <w:tcPr>
            <w:tcW w:type="dxa" w:w="203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55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1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 no object storage provisioned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11"/>
        <w:gridCol w:w="5090"/>
        <w:gridCol w:w="1296"/>
        <w:gridCol w:w="1203"/>
      </w:tblGrid>
      <w:tr>
        <w:trPr>
          <w:tblHeader/>
        </w:trPr>
        <w:tc>
          <w:tcPr>
            <w:tcW w:type="dxa" w:w="11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50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29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2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rather than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rather than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 a scheduled task, a second controller, a message handler —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50"/>
        <w:gridCol w:w="2900"/>
        <w:gridCol w:w="4350"/>
      </w:tblGrid>
      <w:tr>
        <w:trPr>
          <w:tblHeader/>
        </w:trPr>
        <w:tc>
          <w:tcPr>
            <w:tcW w:type="dxa" w:w="14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9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3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 RateLimitFilter then JwtAuthFilter</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not used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rather than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289"/>
        <w:gridCol w:w="6411"/>
      </w:tblGrid>
      <w:tr>
        <w:trPr>
          <w:tblHeader/>
        </w:trPr>
        <w:tc>
          <w:tcPr>
            <w:tcW w:type="dxa" w:w="228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5037"/>
        <w:gridCol w:w="3663"/>
      </w:tblGrid>
      <w:tr>
        <w:trPr>
          <w:tblHeader/>
        </w:trPr>
        <w:tc>
          <w:tcPr>
            <w:tcW w:type="dxa" w:w="503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66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5800"/>
        <w:gridCol w:w="2900"/>
      </w:tblGrid>
      <w:tr>
        <w:trPr>
          <w:tblHeader/>
        </w:trPr>
        <w:tc>
          <w:tcPr>
            <w:tcW w:type="dxa" w:w="58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9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rather than an auto-incrementing integer. The reason is that identifiers appear in URLs. A sequential integer key would let any authenticated user enumerate the identifier space and discover how many records exist and whether a particular one does —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 one mapped with mappedBy, where the foreign key is owned by the child —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rather than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 the same input can yield different numbers —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 retrieving all of a user’s master resumes together with their sections —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164"/>
        <w:gridCol w:w="1582"/>
        <w:gridCol w:w="1582"/>
        <w:gridCol w:w="2372"/>
      </w:tblGrid>
      <w:tr>
        <w:trPr>
          <w:tblHeader/>
        </w:trPr>
        <w:tc>
          <w:tcPr>
            <w:tcW w:type="dxa" w:w="31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8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8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37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1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37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1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37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 one query for the parents plus one per resume, collapsed into a single fetch-joined query. Median latency falls from 3.487 ms to 1.126 ms, an improvement of 67.7%. The proportional gain would be substantially larger against a networked database, because each eliminated statement there costs a network round trip rather than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 the count of unprocessed events — because its load is a queue depth rather than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rather than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maintains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rather than self-managed brokers, because broker operation — rebalancing, patching, storage management —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rather than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 declarative transactions, a security filter chain, JPA persistence and Kafka integration — are all first-class in the Spring ecosystem rather than assembled from unrelated libraries. Static typing also carries weight on a system with seven interrelated entities: a rename or a signature change surfaces at compile time rather than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rather than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 the dashboard looked correct while displaying nothing. Monitoring that is never checked against a real signal will fail silently, and the only reliable defence is to verify the scrape target rather than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rather than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94 tests, all passing, and is verified reproducibly —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8.03: Automated test suites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262"/>
        <w:gridCol w:w="870"/>
        <w:gridCol w:w="5568"/>
      </w:tblGrid>
      <w:tr>
        <w:trPr>
          <w:tblHeader/>
        </w:trPr>
        <w:tc>
          <w:tcPr>
            <w:tcW w:type="dxa" w:w="226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7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5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 that a filter chain refuses a cross-tenant request, that a rate limiter returns 429 —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 a double whose interactions are themselves the assertion. TailoringProducer is a mock: the observable behaviour of triggerTailoring is that it publishes exactly one event with particular contents, so the test asserts with verify() and an ArgumentCaptor rather than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8.04: Technology selection and rationale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175"/>
        <w:gridCol w:w="2610"/>
        <w:gridCol w:w="3915"/>
      </w:tblGrid>
      <w:tr>
        <w:trPr>
          <w:tblHeader/>
        </w:trPr>
        <w:tc>
          <w:tcPr>
            <w:tcW w:type="dxa" w:w="21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6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9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rather than exactly-once delivery changed the consumer’s design. Redelivery is normal operation rather than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rather than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10"/>
        <w:gridCol w:w="6090"/>
      </w:tblGrid>
      <w:tr>
        <w:trPr>
          <w:tblHeader/>
        </w:trPr>
        <w:tc>
          <w:tcPr>
            <w:tcW w:type="dxa" w:w="26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60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coverage is 64.6% of lines on the resume service; the worker service and gateway still have no suite of their own.</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Add a test suite for the worker service, which contains the tailoring pipeline and is currently untested.</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Apache Software Foundation, Apache Kafka Documentation — Design and Delivery Semantics, kafka.apache.org/documentation,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Security Reference — Architecture and Authorization, docs.spring.io/spring-security/reference,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 Hat, Hibernate ORM 6.5 User Guide — Associations, Fetching and Locking, docs.jboss.org/hibernate/orm/6.5/userguide,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 Indexes and Concurrency Control, postgresql.org/docs/16,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Redgate, Flyway Documentation — Migrations and Versioning, documentation.red-gate.com/flyway,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Redis Ltd., Redis Documentation — Key Expiration and Data Types, redis.io/docs,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RDS User Guide — Multi-AZ Deployments, docs.aws.amazon.com/AmazonRDS,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API Security Top 10 — API1:2023 Broken Object Level Authorization, owasp.org/API-Security,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 LLM01 Prompt Injection, owasp.org/www-project-top-10-for-large-language-model-applications,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 Section 6.3.3 (202 Accepted), Internet Engineering Task Force, 2014.</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Richardson C., Microservices Patterns — Chapter 3, Transactional Messaging and the Outbox Pattern, Manning Publications, 2018.</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 Optimistic Offline Lock, Addison-Wesley, 2002.</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92b357632d989939ab7584e107ba11d8de14411.png"/><Relationship Id="rId9" Type="http://schemas.openxmlformats.org/officeDocument/2006/relationships/image" Target="media/d5c66b2f8090e6989da1d714a2413ee14b250d4e.png"/><Relationship Id="rId10" Type="http://schemas.openxmlformats.org/officeDocument/2006/relationships/image" Target="media/77308ce079cf41bfca848ea9145791cfc67d3ea7.png"/><Relationship Id="rId11" Type="http://schemas.openxmlformats.org/officeDocument/2006/relationships/image" Target="media/b0b92db088130cd04d160b82a9f142f31d1d3bb2.png"/><Relationship Id="rId12" Type="http://schemas.openxmlformats.org/officeDocument/2006/relationships/image" Target="media/0e689f5e310b5334f01682d9ffbc1407c86ce60d.png"/><Relationship Id="rId13" Type="http://schemas.openxmlformats.org/officeDocument/2006/relationships/image" Target="media/4f41294e62be1d64ceabd8b794699d97438ecc13.png"/><Relationship Id="rId14" Type="http://schemas.openxmlformats.org/officeDocument/2006/relationships/image" Target="media/906d004a06f72a83fe8e3040064f01e59864f873.png"/><Relationship Id="rId15" Type="http://schemas.openxmlformats.org/officeDocument/2006/relationships/image" Target="media/5c25fbba4be89e75fe2326a23fed97a6b75920de.png"/><Relationship Id="rId16" Type="http://schemas.openxmlformats.org/officeDocument/2006/relationships/image" Target="media/d8e192bde52593c05e05904e4e7a56f6407b94d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 Applied Software Project Report</dc:title>
  <dc:creator>Sai Kumaresh</dc:creator>
  <dc:description>Master of Science in Computer Science — Scaler Neovarsity / Woolf</dc:description>
  <cp:lastModifiedBy>Un-named</cp:lastModifiedBy>
  <cp:revision>1</cp:revision>
  <dcterms:created xsi:type="dcterms:W3CDTF">2026-08-09T07:24:27.596Z</dcterms:created>
  <dcterms:modified xsi:type="dcterms:W3CDTF">2026-08-09T07:24:27.599Z</dcterms:modified>
</cp:coreProperties>
</file>

<file path=docProps/custom.xml><?xml version="1.0" encoding="utf-8"?>
<Properties xmlns="http://schemas.openxmlformats.org/officeDocument/2006/custom-properties" xmlns:vt="http://schemas.openxmlformats.org/officeDocument/2006/docPropsVTypes"/>
</file>