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47</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133 automated tests with JaCoCo-measured coverage of 64.6% of lines on the API service and 53.1% across the two tested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falls from 3.487 ms to 1.126 ms, an improvement of 67.7%.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133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64.6% on the resume service and 28.6% on the worker, 53.1% across the two. The API gateway has no suite, and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2026-08-09T14:53:17.782Z</dcterms:created>
  <dcterms:modified xsi:type="dcterms:W3CDTF">2026-08-09T14:53:17.785Z</dcterms:modified>
</cp:coreProperties>
</file>

<file path=docProps/custom.xml><?xml version="1.0" encoding="utf-8"?>
<Properties xmlns="http://schemas.openxmlformats.org/officeDocument/2006/custom-properties" xmlns:vt="http://schemas.openxmlformats.org/officeDocument/2006/docPropsVTypes"/>
</file>